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01AD" w14:textId="77777777" w:rsidR="00D74AD0" w:rsidRDefault="00D74AD0" w:rsidP="00D74AD0">
      <w:pPr>
        <w:pStyle w:val="Head1"/>
        <w:tabs>
          <w:tab w:val="right" w:leader="underscore" w:pos="9720"/>
        </w:tabs>
      </w:pPr>
      <w:r>
        <w:tab/>
      </w:r>
      <w:r>
        <w:br/>
      </w:r>
      <w:r>
        <w:br/>
        <w:t>Expertise</w:t>
      </w:r>
    </w:p>
    <w:p w14:paraId="1A164E2C" w14:textId="333B0395" w:rsidR="005777CC" w:rsidRDefault="005777CC" w:rsidP="005777CC">
      <w:pPr>
        <w:pStyle w:val="Detail"/>
      </w:pPr>
      <w:r>
        <w:t xml:space="preserve">Real estate </w:t>
      </w:r>
      <w:r w:rsidR="00C632DB">
        <w:t xml:space="preserve">investment </w:t>
      </w:r>
      <w:r>
        <w:t>analysis</w:t>
      </w:r>
      <w:r w:rsidR="00C632DB">
        <w:t xml:space="preserve"> and risk management</w:t>
      </w:r>
    </w:p>
    <w:p w14:paraId="7D5F996A" w14:textId="5181F897" w:rsidR="002363F6" w:rsidRDefault="00127EAC" w:rsidP="00D74AD0">
      <w:pPr>
        <w:pStyle w:val="Detail"/>
      </w:pPr>
      <w:r>
        <w:t xml:space="preserve">Impact of mortgage lending, immigration, and densification on housing markets and affordability </w:t>
      </w:r>
    </w:p>
    <w:p w14:paraId="77E6F896" w14:textId="6CA4E0FE" w:rsidR="008202B3" w:rsidRDefault="00807D53" w:rsidP="008202B3">
      <w:pPr>
        <w:pStyle w:val="Detail"/>
      </w:pPr>
      <w:r>
        <w:t xml:space="preserve">Valuation and risk management for mortgages, </w:t>
      </w:r>
      <w:r w:rsidR="008202B3">
        <w:t>mortgage-backed securities</w:t>
      </w:r>
      <w:r>
        <w:t>, and financial derivatives</w:t>
      </w:r>
    </w:p>
    <w:p w14:paraId="1ECDC459" w14:textId="5E1B9C35" w:rsidR="00CE51D0" w:rsidRDefault="00E94C65">
      <w:pPr>
        <w:pStyle w:val="Head1"/>
        <w:tabs>
          <w:tab w:val="right" w:leader="underscore" w:pos="9720"/>
        </w:tabs>
      </w:pPr>
      <w:r>
        <w:tab/>
      </w:r>
      <w:r>
        <w:br/>
      </w:r>
      <w:r w:rsidR="00CE51D0">
        <w:br/>
        <w:t>Educational Background</w:t>
      </w:r>
    </w:p>
    <w:p w14:paraId="56F248F9" w14:textId="77777777" w:rsidR="00AF77A5" w:rsidRDefault="00AF77A5" w:rsidP="00AF77A5">
      <w:pPr>
        <w:pStyle w:val="Detail1"/>
        <w:tabs>
          <w:tab w:val="clear" w:pos="1440"/>
          <w:tab w:val="left" w:pos="1800"/>
        </w:tabs>
        <w:ind w:left="1800" w:hanging="1440"/>
      </w:pPr>
      <w:r>
        <w:t>2005</w:t>
      </w:r>
      <w:r>
        <w:tab/>
        <w:t>Postdoctoral Honoree, Homer Hoyt Advanced Studies Institute</w:t>
      </w:r>
    </w:p>
    <w:p w14:paraId="27E6581B" w14:textId="77777777" w:rsidR="00AF77A5" w:rsidRDefault="00AF77A5" w:rsidP="00C33A67">
      <w:pPr>
        <w:pStyle w:val="Detail1"/>
        <w:tabs>
          <w:tab w:val="clear" w:pos="1440"/>
          <w:tab w:val="left" w:pos="1800"/>
        </w:tabs>
        <w:ind w:left="1800" w:hanging="1440"/>
      </w:pPr>
      <w:r>
        <w:t>2000</w:t>
      </w:r>
      <w:r>
        <w:tab/>
        <w:t xml:space="preserve">Best Dissertation Award, Homer Hoyt Advanced Studies </w:t>
      </w:r>
    </w:p>
    <w:p w14:paraId="4ACEC54C" w14:textId="34E9D74A" w:rsidR="00CE51D0" w:rsidRDefault="00CE51D0">
      <w:pPr>
        <w:pStyle w:val="Detail3"/>
      </w:pPr>
      <w:r>
        <w:t>1999 Ph.D.</w:t>
      </w:r>
      <w:r>
        <w:tab/>
        <w:t xml:space="preserve">“Implications of Spatial Modeling to Issues in Financial Economics and Real Estate” </w:t>
      </w:r>
    </w:p>
    <w:p w14:paraId="7973C501" w14:textId="77777777" w:rsidR="00CE51D0" w:rsidRDefault="00CE51D0">
      <w:pPr>
        <w:pStyle w:val="Detail3"/>
      </w:pPr>
      <w:r>
        <w:tab/>
        <w:t>Anderson Graduate School of Management, University of California, Los Angeles</w:t>
      </w:r>
    </w:p>
    <w:p w14:paraId="6959B3BE" w14:textId="09F4EEE1" w:rsidR="00CE51D0" w:rsidRDefault="00CE51D0">
      <w:pPr>
        <w:pStyle w:val="Detail3"/>
      </w:pPr>
      <w:r>
        <w:t>1996 M.A.</w:t>
      </w:r>
      <w:r>
        <w:tab/>
        <w:t>Mathematics, University of California, Los Angeles</w:t>
      </w:r>
    </w:p>
    <w:p w14:paraId="31516DF2" w14:textId="147CDBAC" w:rsidR="00CE51D0" w:rsidRDefault="00CE51D0">
      <w:pPr>
        <w:pStyle w:val="Detail3"/>
      </w:pPr>
      <w:r>
        <w:t>1994 M.B.A.</w:t>
      </w:r>
      <w:r>
        <w:tab/>
        <w:t>International Management, Thunderbird, American Graduate School of International Business</w:t>
      </w:r>
    </w:p>
    <w:p w14:paraId="1BF3A24D" w14:textId="1504163A" w:rsidR="00CE51D0" w:rsidRDefault="00CE51D0">
      <w:pPr>
        <w:pStyle w:val="Detail3"/>
      </w:pPr>
      <w:r>
        <w:t>1993 B.Sc.</w:t>
      </w:r>
      <w:r>
        <w:tab/>
        <w:t>Mathematics, Sonoma State University</w:t>
      </w:r>
    </w:p>
    <w:p w14:paraId="6CA61F17" w14:textId="77777777" w:rsidR="00CE51D0" w:rsidRDefault="00CE51D0">
      <w:pPr>
        <w:pStyle w:val="Detail3"/>
      </w:pPr>
      <w:r>
        <w:t xml:space="preserve">1991  </w:t>
      </w:r>
      <w:r>
        <w:tab/>
        <w:t>Mathematics, Sofia University, Bulgaria</w:t>
      </w:r>
    </w:p>
    <w:p w14:paraId="3C039B42" w14:textId="77777777" w:rsidR="00CE51D0" w:rsidRDefault="00CE51D0">
      <w:pPr>
        <w:pStyle w:val="Head1"/>
        <w:tabs>
          <w:tab w:val="right" w:leader="underscore" w:pos="9720"/>
        </w:tabs>
      </w:pPr>
      <w:r>
        <w:tab/>
      </w:r>
      <w:r>
        <w:br/>
      </w:r>
      <w:r>
        <w:br/>
        <w:t>Employment History at Academic Institutions</w:t>
      </w:r>
    </w:p>
    <w:p w14:paraId="71680E03" w14:textId="77777777" w:rsidR="002E6304" w:rsidRDefault="002E6304" w:rsidP="004679E1">
      <w:pPr>
        <w:pStyle w:val="Detail5"/>
      </w:pPr>
      <w:r>
        <w:t>June 2012</w:t>
      </w:r>
      <w:r w:rsidRPr="002E6304">
        <w:t xml:space="preserve"> – Current</w:t>
      </w:r>
      <w:r w:rsidRPr="002E6304">
        <w:tab/>
        <w:t>Professor of Finance, Simon Fraser University, Canada</w:t>
      </w:r>
    </w:p>
    <w:p w14:paraId="3B027C9A" w14:textId="6C26DBCF" w:rsidR="000B19E2" w:rsidRDefault="000B19E2" w:rsidP="004679E1">
      <w:pPr>
        <w:pStyle w:val="Detail5"/>
      </w:pPr>
      <w:r>
        <w:t xml:space="preserve">June 2008 – December </w:t>
      </w:r>
      <w:r w:rsidR="002363F6">
        <w:t>2014</w:t>
      </w:r>
      <w:r w:rsidR="002363F6">
        <w:tab/>
        <w:t>Academic Chair, M.Sc. Finance, Simon Fraser University, Canada</w:t>
      </w:r>
    </w:p>
    <w:p w14:paraId="3FEE7D87" w14:textId="77777777" w:rsidR="004679E1" w:rsidRDefault="004679E1" w:rsidP="004679E1">
      <w:pPr>
        <w:pStyle w:val="Detail5"/>
      </w:pPr>
      <w:r>
        <w:t xml:space="preserve">August 2006 – </w:t>
      </w:r>
      <w:r w:rsidR="002E6304">
        <w:t>June 2012</w:t>
      </w:r>
      <w:r>
        <w:tab/>
        <w:t>Associate Professor of Finance, Simon Fraser University, Canada</w:t>
      </w:r>
    </w:p>
    <w:p w14:paraId="3B52885F" w14:textId="77777777" w:rsidR="004560FB" w:rsidRDefault="00336AA7" w:rsidP="00A75099">
      <w:pPr>
        <w:pStyle w:val="Detail5"/>
      </w:pPr>
      <w:r>
        <w:t>July</w:t>
      </w:r>
      <w:r w:rsidR="00A75099">
        <w:t xml:space="preserve"> 2006 – </w:t>
      </w:r>
      <w:r w:rsidR="007242B6">
        <w:t>July 2008</w:t>
      </w:r>
      <w:r w:rsidR="00A75099">
        <w:tab/>
        <w:t xml:space="preserve">Visiting Associate Professor of Real Estate, </w:t>
      </w:r>
    </w:p>
    <w:p w14:paraId="684686AA" w14:textId="691691AD" w:rsidR="00A75099" w:rsidRDefault="004560FB" w:rsidP="00A75099">
      <w:pPr>
        <w:pStyle w:val="Detail5"/>
      </w:pPr>
      <w:r>
        <w:tab/>
      </w:r>
      <w:r w:rsidR="00A75099">
        <w:t>The Wharton School, University of Pennsylvania</w:t>
      </w:r>
      <w:r w:rsidR="003A7D81">
        <w:t>, USA</w:t>
      </w:r>
    </w:p>
    <w:p w14:paraId="74A92602" w14:textId="77777777" w:rsidR="00CE51D0" w:rsidRDefault="00CE51D0">
      <w:pPr>
        <w:pStyle w:val="Detail5"/>
      </w:pPr>
      <w:r>
        <w:t xml:space="preserve">June 2001 </w:t>
      </w:r>
      <w:r w:rsidR="00A75099">
        <w:t>–</w:t>
      </w:r>
      <w:r>
        <w:t xml:space="preserve"> </w:t>
      </w:r>
      <w:r w:rsidR="00A75099">
        <w:t>August 2006</w:t>
      </w:r>
      <w:r>
        <w:tab/>
        <w:t>Assistant Professor</w:t>
      </w:r>
      <w:r w:rsidR="00D74AD0">
        <w:t xml:space="preserve"> of</w:t>
      </w:r>
      <w:r>
        <w:t xml:space="preserve"> Finance, Simon Fraser University</w:t>
      </w:r>
      <w:r w:rsidR="001D7147">
        <w:t>, Canada</w:t>
      </w:r>
    </w:p>
    <w:p w14:paraId="18241D67" w14:textId="77777777" w:rsidR="00A75099" w:rsidRDefault="00A75099" w:rsidP="00A75099">
      <w:pPr>
        <w:pStyle w:val="Detail5"/>
      </w:pPr>
      <w:r>
        <w:t>June 1999 – May 2001</w:t>
      </w:r>
      <w:r>
        <w:tab/>
        <w:t>Assistant Professor</w:t>
      </w:r>
      <w:r w:rsidR="00D74AD0">
        <w:t xml:space="preserve"> of</w:t>
      </w:r>
      <w:r>
        <w:t xml:space="preserve"> Finance, Concordia University</w:t>
      </w:r>
      <w:r w:rsidR="001D7147">
        <w:t>, Canada</w:t>
      </w:r>
    </w:p>
    <w:p w14:paraId="5C1FD02E" w14:textId="5C9F15B4" w:rsidR="00A6193B" w:rsidRDefault="00A6193B">
      <w:pPr>
        <w:pStyle w:val="Detail5"/>
      </w:pPr>
    </w:p>
    <w:p w14:paraId="4B824B41" w14:textId="77777777" w:rsidR="00B37D50" w:rsidRDefault="00B37D50">
      <w:pPr>
        <w:pStyle w:val="Detail5"/>
      </w:pPr>
    </w:p>
    <w:p w14:paraId="7396689E" w14:textId="34A6540A" w:rsidR="00DC6128" w:rsidRDefault="001D7147" w:rsidP="000541C5">
      <w:pPr>
        <w:pStyle w:val="Head1"/>
        <w:tabs>
          <w:tab w:val="right" w:leader="underscore" w:pos="9720"/>
        </w:tabs>
      </w:pPr>
      <w:r>
        <w:lastRenderedPageBreak/>
        <w:tab/>
      </w:r>
      <w:r>
        <w:br/>
      </w:r>
      <w:r>
        <w:br/>
      </w:r>
      <w:r w:rsidR="006A4FC8">
        <w:t xml:space="preserve">Major </w:t>
      </w:r>
      <w:r>
        <w:t xml:space="preserve">Consulting </w:t>
      </w:r>
      <w:r w:rsidR="008202B3">
        <w:t xml:space="preserve">and </w:t>
      </w:r>
      <w:r w:rsidR="000541C5">
        <w:t xml:space="preserve">Public </w:t>
      </w:r>
      <w:r w:rsidR="008202B3">
        <w:t xml:space="preserve">Expert Witness </w:t>
      </w:r>
      <w:r w:rsidR="000541C5">
        <w:t>Report</w:t>
      </w:r>
      <w:r w:rsidR="00F669C3">
        <w:t>s</w:t>
      </w:r>
    </w:p>
    <w:p w14:paraId="69C70A51" w14:textId="7FEB2414" w:rsidR="00DC6128" w:rsidRDefault="00DC6128" w:rsidP="002363F6">
      <w:pPr>
        <w:pStyle w:val="Detail5"/>
        <w:tabs>
          <w:tab w:val="clear" w:pos="3240"/>
          <w:tab w:val="left" w:pos="2070"/>
        </w:tabs>
        <w:ind w:left="2070" w:hanging="1710"/>
      </w:pPr>
      <w:r>
        <w:t>2019 – 2020</w:t>
      </w:r>
      <w:r>
        <w:tab/>
        <w:t>Expert report on the risk of foreign currency derivative contracts</w:t>
      </w:r>
    </w:p>
    <w:p w14:paraId="7AD3FD83" w14:textId="731C9947" w:rsidR="00DC6128" w:rsidRDefault="00DC6128" w:rsidP="00DC6128">
      <w:pPr>
        <w:pStyle w:val="Detail5"/>
        <w:tabs>
          <w:tab w:val="clear" w:pos="3240"/>
          <w:tab w:val="left" w:pos="2070"/>
        </w:tabs>
        <w:spacing w:before="0"/>
        <w:ind w:left="2069" w:hanging="1712"/>
      </w:pPr>
      <w:r>
        <w:tab/>
        <w:t>Paletta v. HMQ, Tax Court of Canada Appeal No: 2015-2662(IT)G</w:t>
      </w:r>
    </w:p>
    <w:p w14:paraId="2B312777" w14:textId="1D6D481F" w:rsidR="00141FCB" w:rsidRDefault="00141FCB" w:rsidP="00141FCB">
      <w:pPr>
        <w:pStyle w:val="Detail5"/>
        <w:numPr>
          <w:ilvl w:val="0"/>
          <w:numId w:val="2"/>
        </w:numPr>
        <w:tabs>
          <w:tab w:val="clear" w:pos="3240"/>
          <w:tab w:val="left" w:pos="2070"/>
        </w:tabs>
        <w:spacing w:before="0"/>
      </w:pPr>
      <w:r>
        <w:t>Report assigned “significant weight” in the judgment</w:t>
      </w:r>
    </w:p>
    <w:p w14:paraId="047493EC" w14:textId="55B1923B" w:rsidR="00141FCB" w:rsidRDefault="00141FCB" w:rsidP="00141FCB">
      <w:pPr>
        <w:pStyle w:val="Detail5"/>
        <w:numPr>
          <w:ilvl w:val="0"/>
          <w:numId w:val="2"/>
        </w:numPr>
        <w:tabs>
          <w:tab w:val="clear" w:pos="3240"/>
          <w:tab w:val="left" w:pos="2070"/>
        </w:tabs>
        <w:spacing w:before="0"/>
      </w:pPr>
      <w:r>
        <w:t>Case specifically referenced in the 2021 Federal Budget</w:t>
      </w:r>
    </w:p>
    <w:p w14:paraId="4BBCB56F" w14:textId="748F923A" w:rsidR="00DC6128" w:rsidRDefault="00DC6128" w:rsidP="002363F6">
      <w:pPr>
        <w:pStyle w:val="Detail5"/>
        <w:tabs>
          <w:tab w:val="clear" w:pos="3240"/>
          <w:tab w:val="left" w:pos="2070"/>
        </w:tabs>
        <w:ind w:left="2070" w:hanging="1710"/>
      </w:pPr>
      <w:r>
        <w:t>2017 – 2018</w:t>
      </w:r>
      <w:r>
        <w:tab/>
        <w:t xml:space="preserve">Expert report on the impact of </w:t>
      </w:r>
      <w:r w:rsidR="00E64E74">
        <w:t>the</w:t>
      </w:r>
      <w:r>
        <w:t xml:space="preserve"> Foreign Buyer Tax on the </w:t>
      </w:r>
      <w:r w:rsidR="00E64E74">
        <w:t>British Columbia housing</w:t>
      </w:r>
      <w:r>
        <w:t xml:space="preserve"> markets</w:t>
      </w:r>
    </w:p>
    <w:p w14:paraId="0BD4FF35" w14:textId="1843D62D" w:rsidR="00DC6128" w:rsidRDefault="00DC6128" w:rsidP="00DC6128">
      <w:pPr>
        <w:pStyle w:val="Detail5"/>
        <w:tabs>
          <w:tab w:val="clear" w:pos="3240"/>
          <w:tab w:val="left" w:pos="2070"/>
        </w:tabs>
        <w:spacing w:before="0"/>
        <w:ind w:left="2069" w:hanging="1712"/>
      </w:pPr>
      <w:r>
        <w:tab/>
        <w:t>Li v. HMQ BC, BC Supreme Court, Vancouver Registry No. S168644</w:t>
      </w:r>
    </w:p>
    <w:p w14:paraId="7D7C2FAC" w14:textId="704A3C1C" w:rsidR="00141FCB" w:rsidRDefault="00141FCB" w:rsidP="00141FCB">
      <w:pPr>
        <w:pStyle w:val="Detail5"/>
        <w:numPr>
          <w:ilvl w:val="0"/>
          <w:numId w:val="2"/>
        </w:numPr>
        <w:tabs>
          <w:tab w:val="clear" w:pos="3240"/>
          <w:tab w:val="left" w:pos="2070"/>
        </w:tabs>
        <w:spacing w:before="0"/>
      </w:pPr>
      <w:r>
        <w:t>Report upheld and quoted extensively in the judgment</w:t>
      </w:r>
    </w:p>
    <w:p w14:paraId="0ABC89C6" w14:textId="7EB4A7CD" w:rsidR="002363F6" w:rsidRDefault="002363F6" w:rsidP="002363F6">
      <w:pPr>
        <w:pStyle w:val="Detail5"/>
        <w:tabs>
          <w:tab w:val="clear" w:pos="3240"/>
          <w:tab w:val="left" w:pos="2070"/>
        </w:tabs>
        <w:ind w:left="2070" w:hanging="1710"/>
      </w:pPr>
      <w:r>
        <w:t xml:space="preserve">2016 – </w:t>
      </w:r>
      <w:r w:rsidR="00F90CEB">
        <w:t>2017</w:t>
      </w:r>
      <w:r>
        <w:tab/>
        <w:t>Genworth Financial</w:t>
      </w:r>
    </w:p>
    <w:p w14:paraId="63D647CC" w14:textId="4872CC70" w:rsidR="002363F6" w:rsidRDefault="002363F6" w:rsidP="002363F6">
      <w:pPr>
        <w:pStyle w:val="Detail5"/>
        <w:tabs>
          <w:tab w:val="clear" w:pos="3240"/>
          <w:tab w:val="left" w:pos="2070"/>
        </w:tabs>
        <w:spacing w:before="0"/>
        <w:ind w:left="2069" w:hanging="1712"/>
      </w:pPr>
      <w:r>
        <w:tab/>
      </w:r>
      <w:r w:rsidR="00141FCB">
        <w:t>Report on a proposed r</w:t>
      </w:r>
      <w:r>
        <w:t>isk</w:t>
      </w:r>
      <w:r w:rsidR="00141FCB">
        <w:t xml:space="preserve">-sharing mechanism in </w:t>
      </w:r>
      <w:r>
        <w:t>the Canadian Housing Finance System</w:t>
      </w:r>
    </w:p>
    <w:p w14:paraId="7719CFE8" w14:textId="401D6953" w:rsidR="00141FCB" w:rsidRDefault="00141FCB" w:rsidP="00141FCB">
      <w:pPr>
        <w:pStyle w:val="Detail5"/>
        <w:numPr>
          <w:ilvl w:val="0"/>
          <w:numId w:val="2"/>
        </w:numPr>
        <w:tabs>
          <w:tab w:val="clear" w:pos="3240"/>
          <w:tab w:val="left" w:pos="2070"/>
        </w:tabs>
        <w:spacing w:before="0"/>
      </w:pPr>
      <w:r>
        <w:t>Decision was consistent with the report recommendation</w:t>
      </w:r>
    </w:p>
    <w:p w14:paraId="3B3B1F64" w14:textId="2051C18B" w:rsidR="004679E1" w:rsidRDefault="00E92C01" w:rsidP="00A17F7D">
      <w:pPr>
        <w:pStyle w:val="Detail5"/>
        <w:tabs>
          <w:tab w:val="clear" w:pos="3240"/>
          <w:tab w:val="left" w:pos="2070"/>
        </w:tabs>
        <w:ind w:left="2070" w:hanging="1710"/>
      </w:pPr>
      <w:r>
        <w:t xml:space="preserve">2006 – </w:t>
      </w:r>
      <w:r w:rsidR="002363F6">
        <w:t>2016</w:t>
      </w:r>
      <w:r w:rsidR="004679E1">
        <w:tab/>
      </w:r>
      <w:r>
        <w:t>CQ Solutions</w:t>
      </w:r>
    </w:p>
    <w:p w14:paraId="5FCC2693" w14:textId="02E52B19" w:rsidR="004679E1" w:rsidRDefault="004679E1" w:rsidP="00C01E0B">
      <w:pPr>
        <w:pStyle w:val="Detail5"/>
        <w:tabs>
          <w:tab w:val="clear" w:pos="3240"/>
          <w:tab w:val="left" w:pos="2070"/>
        </w:tabs>
        <w:spacing w:before="0"/>
        <w:ind w:left="2074" w:hanging="1714"/>
      </w:pPr>
      <w:r>
        <w:tab/>
      </w:r>
      <w:r w:rsidR="00840FB2">
        <w:t>M</w:t>
      </w:r>
      <w:r>
        <w:t xml:space="preserve">ortgage-backed securities </w:t>
      </w:r>
      <w:r w:rsidR="002363F6">
        <w:t>valuation</w:t>
      </w:r>
      <w:r>
        <w:t xml:space="preserve"> and </w:t>
      </w:r>
      <w:r w:rsidR="00840FB2">
        <w:t>risk management</w:t>
      </w:r>
    </w:p>
    <w:p w14:paraId="2CB31EAC" w14:textId="77777777" w:rsidR="008202B3" w:rsidRPr="008202B3" w:rsidRDefault="008202B3" w:rsidP="00C01E0B">
      <w:pPr>
        <w:pStyle w:val="Detail5"/>
        <w:tabs>
          <w:tab w:val="clear" w:pos="3240"/>
          <w:tab w:val="left" w:pos="2070"/>
        </w:tabs>
        <w:spacing w:before="0"/>
        <w:ind w:left="2074" w:hanging="1714"/>
        <w:rPr>
          <w:sz w:val="10"/>
          <w:szCs w:val="10"/>
        </w:rPr>
      </w:pPr>
    </w:p>
    <w:p w14:paraId="0244155B" w14:textId="6EAC75FD" w:rsidR="008202B3" w:rsidRDefault="008202B3" w:rsidP="008202B3">
      <w:pPr>
        <w:pStyle w:val="Detail5"/>
        <w:tabs>
          <w:tab w:val="clear" w:pos="3240"/>
          <w:tab w:val="left" w:pos="2070"/>
        </w:tabs>
        <w:spacing w:before="0"/>
      </w:pPr>
      <w:r>
        <w:t>2009 – 2010</w:t>
      </w:r>
      <w:r>
        <w:tab/>
        <w:t>Financial Industry Regulatory Authority</w:t>
      </w:r>
    </w:p>
    <w:p w14:paraId="69376305" w14:textId="7137D012" w:rsidR="008202B3" w:rsidRDefault="008202B3" w:rsidP="00C01E0B">
      <w:pPr>
        <w:pStyle w:val="Detail5"/>
        <w:tabs>
          <w:tab w:val="clear" w:pos="3240"/>
          <w:tab w:val="left" w:pos="2070"/>
        </w:tabs>
        <w:spacing w:before="0"/>
        <w:ind w:left="2074" w:hanging="1714"/>
      </w:pPr>
      <w:r>
        <w:tab/>
        <w:t>Mortgage-backed securities disclosure practices</w:t>
      </w:r>
    </w:p>
    <w:p w14:paraId="35F0B9A8" w14:textId="77777777" w:rsidR="001D7147" w:rsidRDefault="001D7147" w:rsidP="00A17F7D">
      <w:pPr>
        <w:pStyle w:val="Detail5"/>
        <w:tabs>
          <w:tab w:val="clear" w:pos="3240"/>
          <w:tab w:val="left" w:pos="2070"/>
        </w:tabs>
        <w:ind w:left="2070" w:hanging="1710"/>
      </w:pPr>
      <w:r>
        <w:t>2006 – 2007</w:t>
      </w:r>
      <w:r>
        <w:tab/>
      </w:r>
      <w:r w:rsidR="00A17F7D">
        <w:t>Canadian Mortgage and Housing Corporation</w:t>
      </w:r>
    </w:p>
    <w:p w14:paraId="6F0F3D37" w14:textId="26253C3C" w:rsidR="00A17F7D" w:rsidRDefault="00A17F7D" w:rsidP="006A4FC8">
      <w:pPr>
        <w:pStyle w:val="Detail5"/>
        <w:tabs>
          <w:tab w:val="clear" w:pos="3240"/>
          <w:tab w:val="left" w:pos="2070"/>
        </w:tabs>
        <w:spacing w:before="0"/>
        <w:ind w:left="2074" w:hanging="1714"/>
      </w:pPr>
      <w:r>
        <w:tab/>
      </w:r>
      <w:r w:rsidR="00C01E0B">
        <w:t>F</w:t>
      </w:r>
      <w:r w:rsidR="006A4FC8">
        <w:t xml:space="preserve">lexibility and product choice </w:t>
      </w:r>
      <w:r w:rsidR="00C01E0B">
        <w:t>in the Canadian mortgage system</w:t>
      </w:r>
    </w:p>
    <w:p w14:paraId="36AC695B" w14:textId="77777777" w:rsidR="006A4FC8" w:rsidRDefault="006A4FC8" w:rsidP="00A17F7D">
      <w:pPr>
        <w:pStyle w:val="Detail5"/>
        <w:tabs>
          <w:tab w:val="clear" w:pos="3240"/>
          <w:tab w:val="left" w:pos="2070"/>
        </w:tabs>
        <w:ind w:left="2070" w:hanging="1710"/>
      </w:pPr>
      <w:r>
        <w:t>2005 – 2007</w:t>
      </w:r>
      <w:r>
        <w:tab/>
        <w:t>Genworth Financial</w:t>
      </w:r>
    </w:p>
    <w:p w14:paraId="0F52A400" w14:textId="22710636" w:rsidR="006A4FC8" w:rsidRDefault="006A4FC8" w:rsidP="006A4FC8">
      <w:pPr>
        <w:pStyle w:val="Detail5"/>
        <w:tabs>
          <w:tab w:val="clear" w:pos="3240"/>
          <w:tab w:val="left" w:pos="2070"/>
        </w:tabs>
        <w:spacing w:before="0"/>
        <w:ind w:left="2074" w:hanging="1714"/>
      </w:pPr>
      <w:r>
        <w:tab/>
      </w:r>
      <w:r w:rsidR="00C01E0B">
        <w:t xml:space="preserve">Innovations </w:t>
      </w:r>
      <w:r>
        <w:t>in the U.S</w:t>
      </w:r>
      <w:r w:rsidR="006731EA">
        <w:t>. and Canadian mortgage systems</w:t>
      </w:r>
    </w:p>
    <w:p w14:paraId="706A429A" w14:textId="77777777" w:rsidR="006A4FC8" w:rsidRDefault="006A4FC8" w:rsidP="00A17F7D">
      <w:pPr>
        <w:pStyle w:val="Detail5"/>
        <w:tabs>
          <w:tab w:val="clear" w:pos="3240"/>
          <w:tab w:val="left" w:pos="2070"/>
        </w:tabs>
        <w:ind w:left="2070" w:hanging="1710"/>
      </w:pPr>
      <w:r>
        <w:t>1999 – 2000</w:t>
      </w:r>
      <w:r>
        <w:tab/>
        <w:t>U.S. Department of Housing and Urban Development</w:t>
      </w:r>
    </w:p>
    <w:p w14:paraId="378A0D66" w14:textId="3FEE4BE8" w:rsidR="006A4FC8" w:rsidRDefault="006A4FC8" w:rsidP="006A4FC8">
      <w:pPr>
        <w:pStyle w:val="Detail5"/>
        <w:tabs>
          <w:tab w:val="clear" w:pos="3240"/>
          <w:tab w:val="left" w:pos="2070"/>
        </w:tabs>
        <w:spacing w:before="0"/>
        <w:ind w:left="2074" w:hanging="1714"/>
      </w:pPr>
      <w:r>
        <w:tab/>
      </w:r>
      <w:r w:rsidR="006731EA">
        <w:t>Performance monitoring in social housing</w:t>
      </w:r>
    </w:p>
    <w:p w14:paraId="54D76623" w14:textId="77777777" w:rsidR="00E94C65" w:rsidRDefault="00E94C65" w:rsidP="00E91C49">
      <w:pPr>
        <w:pStyle w:val="Head1"/>
        <w:tabs>
          <w:tab w:val="right" w:leader="underscore" w:pos="9720"/>
        </w:tabs>
        <w:spacing w:before="0"/>
        <w:outlineLvl w:val="0"/>
      </w:pPr>
      <w:r>
        <w:tab/>
      </w:r>
      <w:r>
        <w:br/>
      </w:r>
    </w:p>
    <w:p w14:paraId="7743C2B9" w14:textId="6A2C9DF8" w:rsidR="00E64E74" w:rsidRDefault="002015D0" w:rsidP="00E64E74">
      <w:pPr>
        <w:pStyle w:val="Head1"/>
        <w:tabs>
          <w:tab w:val="right" w:leader="underscore" w:pos="9720"/>
        </w:tabs>
        <w:spacing w:before="0"/>
        <w:outlineLvl w:val="0"/>
      </w:pPr>
      <w:r>
        <w:t xml:space="preserve">Refereed </w:t>
      </w:r>
      <w:r w:rsidR="00825A34">
        <w:t>Publications</w:t>
      </w:r>
    </w:p>
    <w:p w14:paraId="2C683C66" w14:textId="3AFCC40C" w:rsidR="009046C9" w:rsidRPr="009046C9" w:rsidRDefault="009046C9" w:rsidP="009046C9">
      <w:pPr>
        <w:pStyle w:val="Detail"/>
      </w:pPr>
      <w:r w:rsidRPr="00DC181F">
        <w:t>Not in my neighbour’s back yard? Laneway homes and neighbour</w:t>
      </w:r>
      <w:r w:rsidR="00CF5188">
        <w:t>’</w:t>
      </w:r>
      <w:r w:rsidRPr="00DC181F">
        <w:t>s property values</w:t>
      </w:r>
      <w:r>
        <w:t xml:space="preserve">. (with Tom Davidoff and Tsur Somerville). Journal of Urban Economics. 128. 2022. </w:t>
      </w:r>
    </w:p>
    <w:p w14:paraId="25FE992A" w14:textId="79768C71" w:rsidR="00683E1B" w:rsidRDefault="00683E1B" w:rsidP="00683E1B">
      <w:pPr>
        <w:pStyle w:val="Detail"/>
        <w:rPr>
          <w:lang w:val="en-CA"/>
        </w:rPr>
      </w:pPr>
      <w:r w:rsidRPr="00E64E74">
        <w:rPr>
          <w:lang w:val="en-CA"/>
        </w:rPr>
        <w:t>Price Discovery Limits in the Credit Default Swap Market</w:t>
      </w:r>
      <w:r>
        <w:rPr>
          <w:lang w:val="en-CA"/>
        </w:rPr>
        <w:t xml:space="preserve">. (with Eduardo Schwartz and Susan Wachter). Journal of Real Estate Finance and Economics. </w:t>
      </w:r>
      <w:r w:rsidRPr="000B4B65">
        <w:rPr>
          <w:lang w:val="en-CA"/>
        </w:rPr>
        <w:t>62</w:t>
      </w:r>
      <w:r>
        <w:rPr>
          <w:lang w:val="en-CA"/>
        </w:rPr>
        <w:t xml:space="preserve">(2): </w:t>
      </w:r>
      <w:r w:rsidRPr="000B4B65">
        <w:rPr>
          <w:lang w:val="en-CA"/>
        </w:rPr>
        <w:t>165–186</w:t>
      </w:r>
      <w:r>
        <w:rPr>
          <w:lang w:val="en-CA"/>
        </w:rPr>
        <w:t>. 2021</w:t>
      </w:r>
    </w:p>
    <w:p w14:paraId="53F6B6A6" w14:textId="6B845FF9" w:rsidR="00FC165F" w:rsidRPr="00FC165F" w:rsidRDefault="00FC165F" w:rsidP="00FC165F">
      <w:pPr>
        <w:pStyle w:val="Detail"/>
      </w:pPr>
      <w:r>
        <w:t>Immigration, capital flows and housing prices. (with Tsur Somerville). Real Estate Economics. 48(3): 915-949. 2020.</w:t>
      </w:r>
    </w:p>
    <w:p w14:paraId="334698D4" w14:textId="45F4AD7E" w:rsidR="00683E1B" w:rsidRDefault="00683E1B" w:rsidP="00683E1B">
      <w:pPr>
        <w:pStyle w:val="Detail"/>
      </w:pPr>
      <w:r>
        <w:t>Political risk affects real estate markets. (with Sam Monfared). Journal of Real Estate Finance and Economics. 58(1): 1-20. 201</w:t>
      </w:r>
      <w:r w:rsidR="00EC7B66">
        <w:t>7</w:t>
      </w:r>
      <w:r>
        <w:t>.</w:t>
      </w:r>
    </w:p>
    <w:p w14:paraId="6348780C" w14:textId="77777777" w:rsidR="00683E1B" w:rsidRDefault="00683E1B" w:rsidP="00683E1B">
      <w:pPr>
        <w:pStyle w:val="Detail"/>
      </w:pPr>
      <w:r w:rsidRPr="0034358E">
        <w:t>The consequences of REIT index membership for return patterns</w:t>
      </w:r>
      <w:r>
        <w:t>.</w:t>
      </w:r>
      <w:r w:rsidRPr="0034358E">
        <w:t xml:space="preserve"> </w:t>
      </w:r>
      <w:r>
        <w:t>(with Eva Steiner and Susan Wachter). Real Estate Economics. 46(1): 210-250. 2017.</w:t>
      </w:r>
    </w:p>
    <w:p w14:paraId="6E324C0F" w14:textId="77777777" w:rsidR="00683E1B" w:rsidRDefault="00683E1B" w:rsidP="00683E1B">
      <w:pPr>
        <w:pStyle w:val="Detail"/>
      </w:pPr>
      <w:r w:rsidRPr="00013DAA">
        <w:t xml:space="preserve">REIT Capital Structure Choices: Preparation Matters </w:t>
      </w:r>
      <w:r>
        <w:t>(with Eva Steiner and Susan Wachter).  Real Estate Economics. 46(1): 160-209. 2016.</w:t>
      </w:r>
    </w:p>
    <w:p w14:paraId="1A9CC447" w14:textId="77777777" w:rsidR="00683E1B" w:rsidRPr="00013DAA" w:rsidRDefault="00683E1B" w:rsidP="00683E1B">
      <w:pPr>
        <w:pStyle w:val="Detail"/>
      </w:pPr>
      <w:r w:rsidRPr="00013DAA">
        <w:rPr>
          <w:bCs/>
        </w:rPr>
        <w:t>Why are aggressive mortgage products bad for the housing market?</w:t>
      </w:r>
      <w:r>
        <w:rPr>
          <w:bCs/>
        </w:rPr>
        <w:t xml:space="preserve"> (with Andrew Davidson, Alex Levin, and Susan Wachter). Journal of Economics and Business. 84: 148-161. 2016.</w:t>
      </w:r>
    </w:p>
    <w:p w14:paraId="1CEDEBB9" w14:textId="77777777" w:rsidR="00C632DB" w:rsidRDefault="00C632DB" w:rsidP="00683E1B">
      <w:pPr>
        <w:pStyle w:val="Detail"/>
      </w:pPr>
    </w:p>
    <w:p w14:paraId="58F3DC6C" w14:textId="77777777" w:rsidR="00CD10B7" w:rsidRDefault="00CD10B7" w:rsidP="00C632DB">
      <w:pPr>
        <w:pStyle w:val="Detail"/>
      </w:pPr>
    </w:p>
    <w:p w14:paraId="6B39D249" w14:textId="2645A5BC" w:rsidR="00CD6057" w:rsidRDefault="00683E1B" w:rsidP="00C632DB">
      <w:pPr>
        <w:pStyle w:val="Detail"/>
      </w:pPr>
      <w:r>
        <w:t>Transparency and Coordination in the Mortgage Market (with Susan Wachter and Albert Zevelev).  Journal of Financial Services Research. 49(2/3): 265 - 280. 2016.</w:t>
      </w:r>
    </w:p>
    <w:p w14:paraId="47F21FFB" w14:textId="713AD077" w:rsidR="00683E1B" w:rsidRDefault="00683E1B" w:rsidP="00683E1B">
      <w:pPr>
        <w:pStyle w:val="Detail"/>
      </w:pPr>
      <w:r w:rsidRPr="00EF39D7">
        <w:t>Business Investment and Economic Depreciation</w:t>
      </w:r>
      <w:r>
        <w:t xml:space="preserve">. (with George Blazenko and Wing Him Yeung). Journal of </w:t>
      </w:r>
      <w:r w:rsidR="00CF5188">
        <w:t>Accounting</w:t>
      </w:r>
      <w:r>
        <w:t>, Finance, and Economics. 5(1): 84-100. 2015.</w:t>
      </w:r>
    </w:p>
    <w:p w14:paraId="2EC1A87E" w14:textId="77777777" w:rsidR="00683E1B" w:rsidRDefault="00683E1B" w:rsidP="00683E1B">
      <w:pPr>
        <w:pStyle w:val="Detail"/>
      </w:pPr>
      <w:r w:rsidRPr="00842E95">
        <w:t>Macroeconomic Risk Factors in the Returns from International Real Estate Securities</w:t>
      </w:r>
      <w:r>
        <w:t>.  (with Eva Steiner and Susan Wachter).  Real Estate Economics. 43(1): 241-270. 2015.</w:t>
      </w:r>
    </w:p>
    <w:p w14:paraId="5669A81D" w14:textId="77777777" w:rsidR="00683E1B" w:rsidRDefault="00683E1B" w:rsidP="00683E1B">
      <w:pPr>
        <w:pStyle w:val="Detail"/>
      </w:pPr>
      <w:r w:rsidRPr="00C86C9C">
        <w:t>New Venture Start-</w:t>
      </w:r>
      <w:r>
        <w:t xml:space="preserve">ups and Technological Innovation.  (with George Blazenko and Freda Sumeke).  International </w:t>
      </w:r>
      <w:r w:rsidRPr="00C86C9C">
        <w:t>Journal of Managerial Finance</w:t>
      </w:r>
      <w:r>
        <w:t xml:space="preserve">. 8(1): 4 – 35. 2012. </w:t>
      </w:r>
    </w:p>
    <w:p w14:paraId="2E633F2C" w14:textId="77777777" w:rsidR="00683E1B" w:rsidRDefault="00683E1B" w:rsidP="00683E1B">
      <w:pPr>
        <w:pStyle w:val="Detail"/>
      </w:pPr>
      <w:r>
        <w:t xml:space="preserve">Subprime Lending and Real Estate Prices.  (with Susan Wachter).  Real Estate Economics. </w:t>
      </w:r>
      <w:r w:rsidRPr="00F93093">
        <w:t>39(</w:t>
      </w:r>
      <w:r>
        <w:t xml:space="preserve">1): 1 - 17. 2011. </w:t>
      </w:r>
    </w:p>
    <w:p w14:paraId="307B3E45" w14:textId="77777777" w:rsidR="00683E1B" w:rsidRDefault="00683E1B" w:rsidP="00683E1B">
      <w:pPr>
        <w:pStyle w:val="Detail"/>
      </w:pPr>
      <w:r w:rsidRPr="00FC5B9A">
        <w:t>Investment Timing for New Business Ventures.</w:t>
      </w:r>
      <w:r>
        <w:t xml:space="preserve"> (with George Blazenko).</w:t>
      </w:r>
      <w:r w:rsidRPr="00FC5B9A">
        <w:t xml:space="preserve">  The Journal </w:t>
      </w:r>
      <w:r>
        <w:t xml:space="preserve">of Entrepreneurial Finance, </w:t>
      </w:r>
      <w:r w:rsidRPr="00FC5B9A">
        <w:t>15</w:t>
      </w:r>
      <w:r>
        <w:t>(1): 37-68.</w:t>
      </w:r>
      <w:r w:rsidRPr="00FC5B9A">
        <w:t xml:space="preserve"> 2010</w:t>
      </w:r>
      <w:r>
        <w:t>.</w:t>
      </w:r>
    </w:p>
    <w:p w14:paraId="0310BB41" w14:textId="77777777" w:rsidR="00683E1B" w:rsidRDefault="00683E1B" w:rsidP="00683E1B">
      <w:pPr>
        <w:pStyle w:val="Detail"/>
      </w:pPr>
      <w:r>
        <w:t>Value M</w:t>
      </w:r>
      <w:r w:rsidRPr="00A24F2C">
        <w:t xml:space="preserve">aximizing </w:t>
      </w:r>
      <w:r>
        <w:t>H</w:t>
      </w:r>
      <w:r w:rsidRPr="00A24F2C">
        <w:t xml:space="preserve">urdle </w:t>
      </w:r>
      <w:r>
        <w:t>R</w:t>
      </w:r>
      <w:r w:rsidRPr="00A24F2C">
        <w:t xml:space="preserve">ates for R&amp;D </w:t>
      </w:r>
      <w:r>
        <w:t>I</w:t>
      </w:r>
      <w:r w:rsidRPr="00A24F2C">
        <w:t>nvestment</w:t>
      </w:r>
      <w:r>
        <w:t xml:space="preserve">.  (with George Blazenko).  </w:t>
      </w:r>
      <w:r w:rsidRPr="00A24F2C">
        <w:t>Economics of Innovation and New Technology</w:t>
      </w:r>
      <w:r>
        <w:t xml:space="preserve">. </w:t>
      </w:r>
      <w:r w:rsidRPr="00A24F2C">
        <w:t>19</w:t>
      </w:r>
      <w:r>
        <w:t>(</w:t>
      </w:r>
      <w:r w:rsidRPr="00A24F2C">
        <w:t>8</w:t>
      </w:r>
      <w:r>
        <w:t xml:space="preserve">): </w:t>
      </w:r>
      <w:r w:rsidRPr="00A24F2C">
        <w:t>693</w:t>
      </w:r>
      <w:r>
        <w:t>-708. 2010</w:t>
      </w:r>
    </w:p>
    <w:p w14:paraId="33EC6C74" w14:textId="77777777" w:rsidR="00683E1B" w:rsidRDefault="00683E1B" w:rsidP="00683E1B">
      <w:pPr>
        <w:pStyle w:val="Detail"/>
      </w:pPr>
      <w:r>
        <w:t>Investment Timing for Dynamic Business Expansion.  (with George Blazenko).  Financial Management.  Winter 2009.</w:t>
      </w:r>
    </w:p>
    <w:p w14:paraId="10096EB2" w14:textId="77777777" w:rsidR="00683E1B" w:rsidRDefault="00683E1B" w:rsidP="00683E1B">
      <w:pPr>
        <w:pStyle w:val="Detail"/>
      </w:pPr>
      <w:r>
        <w:t>Mortgage P</w:t>
      </w:r>
      <w:r w:rsidRPr="00A605BA">
        <w:t xml:space="preserve">ut </w:t>
      </w:r>
      <w:r>
        <w:t>O</w:t>
      </w:r>
      <w:r w:rsidRPr="00A605BA">
        <w:t xml:space="preserve">ptions </w:t>
      </w:r>
      <w:r>
        <w:t>a</w:t>
      </w:r>
      <w:r w:rsidRPr="00A605BA">
        <w:t xml:space="preserve">nd </w:t>
      </w:r>
      <w:r>
        <w:t>R</w:t>
      </w:r>
      <w:r w:rsidRPr="00A605BA">
        <w:t xml:space="preserve">eal </w:t>
      </w:r>
      <w:r>
        <w:t>E</w:t>
      </w:r>
      <w:r w:rsidRPr="00A605BA">
        <w:t xml:space="preserve">state </w:t>
      </w:r>
      <w:r>
        <w:t>M</w:t>
      </w:r>
      <w:r w:rsidRPr="00A605BA">
        <w:t>arkets</w:t>
      </w:r>
      <w:r>
        <w:t>. (with Susan Wachter).  Journal of Real Estate Finance and Economics. 38(1): 86-103. 2009.</w:t>
      </w:r>
    </w:p>
    <w:p w14:paraId="54E850E5" w14:textId="77777777" w:rsidR="00683E1B" w:rsidRDefault="00683E1B" w:rsidP="00683E1B">
      <w:pPr>
        <w:pStyle w:val="Detail"/>
      </w:pPr>
      <w:r>
        <w:t>Homeownership as a Constraint on Asset Allocation. (with Steve Cauley and Eduardo Schwartz).  Journal of Real Estate Finance and Economics.  34(3): 283-311.  2007.</w:t>
      </w:r>
    </w:p>
    <w:p w14:paraId="6F743DCD" w14:textId="77777777" w:rsidR="00683E1B" w:rsidRDefault="00683E1B" w:rsidP="00683E1B">
      <w:pPr>
        <w:pStyle w:val="Detail"/>
      </w:pPr>
      <w:r w:rsidRPr="00DB283B">
        <w:t>The Inevitability of Market-Wide Underpri</w:t>
      </w:r>
      <w:r>
        <w:t xml:space="preserve">cing of Mortgage Default Risk.  (with Susan Wachter).  </w:t>
      </w:r>
      <w:r w:rsidRPr="00DB283B">
        <w:t>Real Estate Economics.  34(4): 479-</w:t>
      </w:r>
      <w:r>
        <w:t>4</w:t>
      </w:r>
      <w:r w:rsidRPr="00DB283B">
        <w:t>96.</w:t>
      </w:r>
      <w:r>
        <w:t xml:space="preserve">  2006</w:t>
      </w:r>
    </w:p>
    <w:p w14:paraId="5973CECB" w14:textId="77777777" w:rsidR="00683E1B" w:rsidRDefault="00683E1B" w:rsidP="00683E1B">
      <w:pPr>
        <w:pStyle w:val="Detail"/>
      </w:pPr>
      <w:r>
        <w:t>Spatial Heterogeneity in Mortgage Terminations by Refinance, Move, and Default.  (with Yongheng Deng and Lihong Yang).  Real Estate Economics.  33(4): 671-698.  2005.</w:t>
      </w:r>
    </w:p>
    <w:p w14:paraId="4AD11C2F" w14:textId="77777777" w:rsidR="00683E1B" w:rsidRDefault="00683E1B" w:rsidP="00683E1B">
      <w:pPr>
        <w:pStyle w:val="Detail"/>
      </w:pPr>
      <w:r>
        <w:t>Neighborhood Effect of Real Estate Maintenance.  (with George Blazenko). Journal of Real Estate Finance and Economics. 30(4): 327-340, 2005.</w:t>
      </w:r>
    </w:p>
    <w:p w14:paraId="08D47728" w14:textId="77777777" w:rsidR="00683E1B" w:rsidRDefault="00683E1B" w:rsidP="00CD6057">
      <w:pPr>
        <w:pStyle w:val="Detail"/>
      </w:pPr>
      <w:r>
        <w:t>Bank Lending and Real Estate in Asia: Market Optimism and Asset Bubbles. (with Koh, Mariano, Phang, Tan, and Wachter).  Journal of Asian Economics. 15: 1103 – 1118. 2005.</w:t>
      </w:r>
    </w:p>
    <w:p w14:paraId="59EBE91C" w14:textId="0E77A221" w:rsidR="00683E1B" w:rsidRDefault="00683E1B" w:rsidP="00683E1B">
      <w:pPr>
        <w:pStyle w:val="Detail"/>
      </w:pPr>
      <w:r>
        <w:t xml:space="preserve">Evaluating Flexibility in Small Firm Financing. (with Khaled Soufani and Panikkos Poutziouris).  Journal of </w:t>
      </w:r>
      <w:r w:rsidR="00CD6057">
        <w:t>Entrepreneurial</w:t>
      </w:r>
      <w:r>
        <w:t xml:space="preserve"> Finance and Business Ventures.  9(1): 71 - 93, 2004.</w:t>
      </w:r>
    </w:p>
    <w:p w14:paraId="4A5ABE1F" w14:textId="77777777" w:rsidR="00683E1B" w:rsidRDefault="00683E1B" w:rsidP="00683E1B">
      <w:pPr>
        <w:pStyle w:val="Detail"/>
      </w:pPr>
      <w:r>
        <w:t>Robbing the Bank: Short-term Players and Asset Prices. (with Susan Wachter).  Journal of Real Estate Finance and Economics.  28(2/3): 147-160. 2004.</w:t>
      </w:r>
    </w:p>
    <w:p w14:paraId="163C9B22" w14:textId="77777777" w:rsidR="00683E1B" w:rsidRDefault="00683E1B" w:rsidP="00683E1B">
      <w:pPr>
        <w:pStyle w:val="Detail"/>
      </w:pPr>
      <w:r>
        <w:t>The Economics of Maintenance for Real Estate Investments (with George Blazenko).  Real Estate Economics.  32(1): 55-85. 2004.</w:t>
      </w:r>
    </w:p>
    <w:p w14:paraId="2E182219" w14:textId="77777777" w:rsidR="00683E1B" w:rsidRDefault="00683E1B" w:rsidP="00683E1B">
      <w:pPr>
        <w:pStyle w:val="Detail"/>
      </w:pPr>
      <w:r>
        <w:t>Rational Delays: The Case of Real Estate.  (with Steve Cauley).  Journal of Real Estate Finance and Economics.  24(1/2): 143-165. 2002.</w:t>
      </w:r>
    </w:p>
    <w:p w14:paraId="6EE0DC24" w14:textId="77777777" w:rsidR="00683E1B" w:rsidRDefault="00683E1B" w:rsidP="00683E1B">
      <w:pPr>
        <w:pStyle w:val="Detail"/>
      </w:pPr>
      <w:r>
        <w:t>Competing Risks of Mortgage Terminations: Who Refinances, Who Moves, and Who Defaults?  Journal of Real Estate Finance and Economics, 23(2): 185-211. 2001.</w:t>
      </w:r>
    </w:p>
    <w:p w14:paraId="436A40B9" w14:textId="77777777" w:rsidR="00683E1B" w:rsidRPr="00EF4743" w:rsidRDefault="00683E1B" w:rsidP="00683E1B">
      <w:pPr>
        <w:pStyle w:val="Detail"/>
      </w:pPr>
      <w:r>
        <w:t>Space Varying Regression Coefficients: A Semi-Parametric Approach Applied to Real Estate Markets.  Real Estate Economics. 28(2): 249-283. 2000.</w:t>
      </w:r>
    </w:p>
    <w:p w14:paraId="5E41C58F" w14:textId="77777777" w:rsidR="00683E1B" w:rsidRPr="00CD10B7" w:rsidRDefault="00683E1B" w:rsidP="00CD10B7">
      <w:pPr>
        <w:pStyle w:val="Head1"/>
        <w:tabs>
          <w:tab w:val="right" w:leader="underscore" w:pos="9720"/>
        </w:tabs>
        <w:spacing w:before="0" w:after="0"/>
        <w:outlineLvl w:val="0"/>
        <w:rPr>
          <w:sz w:val="20"/>
          <w:szCs w:val="20"/>
        </w:rPr>
      </w:pPr>
      <w:r w:rsidRPr="00CD10B7">
        <w:rPr>
          <w:sz w:val="20"/>
          <w:szCs w:val="20"/>
        </w:rPr>
        <w:lastRenderedPageBreak/>
        <w:tab/>
      </w:r>
    </w:p>
    <w:p w14:paraId="1C44DC50" w14:textId="77777777" w:rsidR="00683E1B" w:rsidRPr="00EF4743" w:rsidRDefault="00683E1B" w:rsidP="00CD10B7">
      <w:pPr>
        <w:pStyle w:val="Head1"/>
        <w:tabs>
          <w:tab w:val="right" w:leader="underscore" w:pos="9720"/>
        </w:tabs>
        <w:spacing w:before="0" w:after="0"/>
        <w:outlineLvl w:val="0"/>
        <w:rPr>
          <w:sz w:val="20"/>
          <w:szCs w:val="20"/>
        </w:rPr>
      </w:pPr>
    </w:p>
    <w:p w14:paraId="18C4A8FB" w14:textId="77777777" w:rsidR="00683E1B" w:rsidRDefault="00683E1B" w:rsidP="00683E1B">
      <w:pPr>
        <w:pStyle w:val="Head1"/>
        <w:tabs>
          <w:tab w:val="right" w:leader="underscore" w:pos="9720"/>
        </w:tabs>
        <w:spacing w:before="0"/>
        <w:outlineLvl w:val="0"/>
      </w:pPr>
      <w:r>
        <w:t>Reviewed Publications</w:t>
      </w:r>
    </w:p>
    <w:p w14:paraId="4B935656" w14:textId="77777777" w:rsidR="00683E1B" w:rsidRDefault="00683E1B" w:rsidP="00683E1B">
      <w:pPr>
        <w:pStyle w:val="Detail"/>
      </w:pPr>
      <w:r>
        <w:t xml:space="preserve">Keeping Rents Stable: An Admirable Goal – Too Bad We’re Going About It Wrong. The Goodman Report. November 18, 2020.  </w:t>
      </w:r>
    </w:p>
    <w:p w14:paraId="6E640113" w14:textId="77777777" w:rsidR="00683E1B" w:rsidRDefault="00683E1B" w:rsidP="00683E1B">
      <w:pPr>
        <w:pStyle w:val="Detail"/>
      </w:pPr>
      <w:r w:rsidRPr="00AD5E1D">
        <w:t>Institutional Investors: A New Boogeyman for Our Housing Troubles</w:t>
      </w:r>
      <w:r>
        <w:t>. The Goodman Report. September 4, 2020.</w:t>
      </w:r>
    </w:p>
    <w:p w14:paraId="0D8A1BF5" w14:textId="77777777" w:rsidR="00683E1B" w:rsidRDefault="00683E1B" w:rsidP="00683E1B">
      <w:pPr>
        <w:pStyle w:val="Detail"/>
      </w:pPr>
      <w:r>
        <w:t>Rental housing: where Seattle thrives, Vancouver stumbles. The Goodman Report. November 19, 2019. Re-printed in the Western Investor, the Georgia Straight and Business in Vancouver.</w:t>
      </w:r>
    </w:p>
    <w:p w14:paraId="065F48C5" w14:textId="77777777" w:rsidR="00683E1B" w:rsidRDefault="00683E1B" w:rsidP="00683E1B">
      <w:pPr>
        <w:pStyle w:val="Detail"/>
      </w:pPr>
      <w:r w:rsidRPr="006674AD">
        <w:t>Life has many uncertainties; your property tax should not be one of them</w:t>
      </w:r>
      <w:r>
        <w:t>. The Globe and Mail. June 8, 2019.</w:t>
      </w:r>
    </w:p>
    <w:p w14:paraId="10775AFA" w14:textId="77777777" w:rsidR="00683E1B" w:rsidRDefault="00683E1B" w:rsidP="00683E1B">
      <w:pPr>
        <w:pStyle w:val="Detail"/>
      </w:pPr>
      <w:r w:rsidRPr="006674AD">
        <w:t>Speculation Confusion</w:t>
      </w:r>
      <w:r>
        <w:t>. The Orca. May 2, 2019.</w:t>
      </w:r>
    </w:p>
    <w:p w14:paraId="4DE9DF25" w14:textId="77777777" w:rsidR="00683E1B" w:rsidRDefault="00683E1B" w:rsidP="00683E1B">
      <w:pPr>
        <w:pStyle w:val="Detail"/>
      </w:pPr>
      <w:r w:rsidRPr="00D702FE">
        <w:t>Majority like idea of vacancy tax, but tax as implemented is a different matter</w:t>
      </w:r>
      <w:r>
        <w:t>. The Vancouver Sun. April 1, 2019.</w:t>
      </w:r>
    </w:p>
    <w:p w14:paraId="20225C5E" w14:textId="77777777" w:rsidR="00683E1B" w:rsidRDefault="00683E1B" w:rsidP="00683E1B">
      <w:pPr>
        <w:pStyle w:val="Detail"/>
      </w:pPr>
      <w:r w:rsidRPr="00D702FE">
        <w:t>Housing affordability is supposed to be improving – but few are buying it</w:t>
      </w:r>
      <w:r>
        <w:t>. The Orca. February 27, 2019.</w:t>
      </w:r>
    </w:p>
    <w:p w14:paraId="613E5864" w14:textId="77777777" w:rsidR="00683E1B" w:rsidRDefault="00683E1B" w:rsidP="00683E1B">
      <w:pPr>
        <w:pStyle w:val="Detail"/>
      </w:pPr>
      <w:r w:rsidRPr="002C5559">
        <w:t>Vacancy tax a good idea that's been badly implemented</w:t>
      </w:r>
      <w:r>
        <w:t>. The Vancouver Sun. February 1, 2019.</w:t>
      </w:r>
    </w:p>
    <w:p w14:paraId="2FD1D0CA" w14:textId="77777777" w:rsidR="00683E1B" w:rsidRDefault="00683E1B" w:rsidP="00683E1B">
      <w:pPr>
        <w:pStyle w:val="Detail"/>
      </w:pPr>
      <w:r>
        <w:t>Here’s that thing you didn’t want – and the bill. The Orca. December 23, 2018.</w:t>
      </w:r>
    </w:p>
    <w:p w14:paraId="1F43B4C5" w14:textId="77777777" w:rsidR="00683E1B" w:rsidRDefault="00683E1B" w:rsidP="00683E1B">
      <w:pPr>
        <w:pStyle w:val="Detail"/>
      </w:pPr>
      <w:r w:rsidRPr="00351572">
        <w:t>Vancouver rent control is not the advertised win for renters</w:t>
      </w:r>
      <w:r>
        <w:t>. The Province. December 7, 2018.</w:t>
      </w:r>
    </w:p>
    <w:p w14:paraId="037AA5D0" w14:textId="77777777" w:rsidR="00683E1B" w:rsidRDefault="00683E1B" w:rsidP="00683E1B">
      <w:pPr>
        <w:pStyle w:val="Detail"/>
      </w:pPr>
      <w:r w:rsidRPr="004420AE">
        <w:t>B.C.’s help for first-time home buyers is a trap</w:t>
      </w:r>
      <w:r>
        <w:t>. The Globe and Mail. December 16, 2016.</w:t>
      </w:r>
    </w:p>
    <w:p w14:paraId="1337D18A" w14:textId="77777777" w:rsidR="00683E1B" w:rsidRDefault="00683E1B" w:rsidP="00683E1B">
      <w:pPr>
        <w:pStyle w:val="Detail"/>
      </w:pPr>
      <w:r>
        <w:t>Analyzing the Impact of Foreign Investment on Real Estate Markets. (with Tsur Somerville). Public Sector Digest. Fall, 2016.</w:t>
      </w:r>
    </w:p>
    <w:p w14:paraId="5F6E5EB7" w14:textId="77777777" w:rsidR="00683E1B" w:rsidRDefault="00683E1B" w:rsidP="00683E1B">
      <w:pPr>
        <w:pStyle w:val="Detail"/>
      </w:pPr>
      <w:r w:rsidRPr="009B2638">
        <w:t>Ending self-regulation in Vancouver real estate won’t solve the market crisis</w:t>
      </w:r>
      <w:r>
        <w:t>. (with Tsur Somerville). The Globe and Mail, July 4, 2016.</w:t>
      </w:r>
    </w:p>
    <w:p w14:paraId="28348C8A" w14:textId="5D754339" w:rsidR="00683E1B" w:rsidRDefault="00683E1B" w:rsidP="00683E1B">
      <w:pPr>
        <w:pStyle w:val="Detail"/>
      </w:pPr>
      <w:r>
        <w:t>Credit Derivatives and Housing Market (with Charles King). The International Encyclopedia of Housing and Finance. 2014.</w:t>
      </w:r>
    </w:p>
    <w:p w14:paraId="406A003E" w14:textId="1E939160" w:rsidR="00683E1B" w:rsidRDefault="00683E1B" w:rsidP="00CD6057">
      <w:pPr>
        <w:pStyle w:val="Detail"/>
      </w:pPr>
      <w:r>
        <w:t>Misaligned Incentives and Mortgage Lending in Asia (with Richard Green, Roberto Mariano and Susan Wachter). Financial Sector Development in the Pacific Rim. NBER. 2009.</w:t>
      </w:r>
    </w:p>
    <w:p w14:paraId="3D982065" w14:textId="11F0FCE2" w:rsidR="00683E1B" w:rsidRDefault="00683E1B" w:rsidP="00683E1B">
      <w:pPr>
        <w:pStyle w:val="Detail"/>
        <w:ind w:left="0" w:firstLine="360"/>
      </w:pPr>
      <w:r>
        <w:t>Good and Bad Securitization (with Adam Levitin and Susan Wachter).  Wharton Real Estate Review. Fall. 2009.</w:t>
      </w:r>
    </w:p>
    <w:p w14:paraId="101F9351" w14:textId="152F8777" w:rsidR="00683E1B" w:rsidRDefault="00683E1B" w:rsidP="00683E1B">
      <w:pPr>
        <w:pStyle w:val="Detail"/>
        <w:ind w:left="0" w:firstLine="360"/>
      </w:pPr>
      <w:r>
        <w:t>Systemic Risk and Market Institutions. (with Susan Wachter)</w:t>
      </w:r>
      <w:r w:rsidR="00462468">
        <w:t>.</w:t>
      </w:r>
      <w:r>
        <w:t xml:space="preserve"> Yale Journal on Regulation. July 2009.</w:t>
      </w:r>
    </w:p>
    <w:p w14:paraId="26634EFD" w14:textId="3102AA6B" w:rsidR="00683E1B" w:rsidRDefault="00683E1B" w:rsidP="00683E1B">
      <w:pPr>
        <w:pStyle w:val="Detail"/>
      </w:pPr>
      <w:r>
        <w:t>Systemic Risk Through Securitization: The Result of Deregulation and Regulatory Failure. (with Pat McCoy and S. Wachter). Connecticut Law Review. 41(4): 1328 – 1373. 2009.</w:t>
      </w:r>
    </w:p>
    <w:p w14:paraId="4AD9FB1A" w14:textId="07332723" w:rsidR="00683E1B" w:rsidRDefault="00683E1B" w:rsidP="00683E1B">
      <w:pPr>
        <w:pStyle w:val="Detail"/>
      </w:pPr>
      <w:r w:rsidRPr="00EF1B01">
        <w:t>Explaining the United States’ Uniquely Bad Housing Market</w:t>
      </w:r>
      <w:r>
        <w:t xml:space="preserve">. (with </w:t>
      </w:r>
      <w:r w:rsidRPr="00EF1B01">
        <w:t>Jesse Abraham</w:t>
      </w:r>
      <w:r>
        <w:t xml:space="preserve"> and</w:t>
      </w:r>
      <w:r w:rsidRPr="00EF1B01">
        <w:t xml:space="preserve"> Susan Wachter</w:t>
      </w:r>
      <w:r>
        <w:t>). Wharton Real Estate Review.  12(2): 24 – 41. 2008.</w:t>
      </w:r>
    </w:p>
    <w:p w14:paraId="27830151" w14:textId="1F2BEA75" w:rsidR="00683E1B" w:rsidRPr="00EB37C2" w:rsidRDefault="00683E1B" w:rsidP="00683E1B">
      <w:pPr>
        <w:pStyle w:val="Detail"/>
      </w:pPr>
      <w:r w:rsidRPr="00EB37C2">
        <w:t>Subprime Lending and Real Estate Markets</w:t>
      </w:r>
      <w:r>
        <w:t>. (with Susan Wachter and Zoltan Pozsar). Mortgage and Real Estate Finance.  Risk Books. 2008.</w:t>
      </w:r>
    </w:p>
    <w:p w14:paraId="67D65757" w14:textId="1CB817C9" w:rsidR="00683E1B" w:rsidRDefault="00683E1B" w:rsidP="00683E1B">
      <w:pPr>
        <w:pStyle w:val="Detail"/>
      </w:pPr>
      <w:r>
        <w:t xml:space="preserve">Incentives for Mortgage Lending in Asia. </w:t>
      </w:r>
      <w:r w:rsidRPr="00A3777E">
        <w:t xml:space="preserve">(with </w:t>
      </w:r>
      <w:r>
        <w:t>Richard Green, Roberto Mariano, and Susan Wachter</w:t>
      </w:r>
      <w:r w:rsidRPr="00A3777E">
        <w:t>)</w:t>
      </w:r>
      <w:r>
        <w:t>. NBER 2008.</w:t>
      </w:r>
    </w:p>
    <w:p w14:paraId="24E1996C" w14:textId="4B643C97" w:rsidR="00683E1B" w:rsidRPr="006330F6" w:rsidRDefault="00683E1B" w:rsidP="00683E1B">
      <w:pPr>
        <w:pStyle w:val="Detail"/>
      </w:pPr>
      <w:r w:rsidRPr="006330F6">
        <w:t xml:space="preserve">Value Creation </w:t>
      </w:r>
      <w:r>
        <w:t>through Real Options Management. (with Marcel Boyer, Peter Christoffersen, and Pierre Lasserre)</w:t>
      </w:r>
      <w:r w:rsidR="00CF5188">
        <w:t>.</w:t>
      </w:r>
      <w:r>
        <w:t xml:space="preserve"> </w:t>
      </w:r>
      <w:r w:rsidRPr="006330F6">
        <w:t>Enterprise Risk Management-Concepts and Cases - Vol.VI</w:t>
      </w:r>
      <w:r>
        <w:t>. 2006.</w:t>
      </w:r>
    </w:p>
    <w:p w14:paraId="7DC77E86" w14:textId="5F754678" w:rsidR="00683E1B" w:rsidRDefault="00683E1B" w:rsidP="00683E1B">
      <w:pPr>
        <w:pStyle w:val="Detail"/>
        <w:outlineLvl w:val="0"/>
      </w:pPr>
      <w:r>
        <w:t>Real Estate Crashes and Bank Lending. (with Susan Wachter). Wharton Real Estate Review. 9(1): 62-69. 2005.</w:t>
      </w:r>
    </w:p>
    <w:p w14:paraId="1D44582E" w14:textId="6F649CF4" w:rsidR="00CD6057" w:rsidRDefault="00683E1B" w:rsidP="00462468">
      <w:pPr>
        <w:pStyle w:val="Detail"/>
      </w:pPr>
      <w:r>
        <w:t xml:space="preserve">There is no Need to Fear a House-Price Bubble in Canada. The Globe and Mail. October 5, 2005.  </w:t>
      </w:r>
    </w:p>
    <w:p w14:paraId="6CA48CE5" w14:textId="01E61EA7" w:rsidR="00683E1B" w:rsidRDefault="00683E1B" w:rsidP="00683E1B">
      <w:pPr>
        <w:pStyle w:val="Detail"/>
      </w:pPr>
      <w:r>
        <w:t>Land Values and Sustainable Development. RICS Foundation Monograph. 2004.</w:t>
      </w:r>
    </w:p>
    <w:p w14:paraId="7FBE2479" w14:textId="77777777" w:rsidR="00683E1B" w:rsidRDefault="00683E1B" w:rsidP="00683E1B">
      <w:pPr>
        <w:pStyle w:val="Head1"/>
        <w:tabs>
          <w:tab w:val="right" w:leader="underscore" w:pos="9720"/>
        </w:tabs>
        <w:spacing w:before="0"/>
        <w:outlineLvl w:val="0"/>
      </w:pPr>
      <w:r>
        <w:lastRenderedPageBreak/>
        <w:tab/>
      </w:r>
    </w:p>
    <w:p w14:paraId="3C8A3CC1" w14:textId="77777777" w:rsidR="00683E1B" w:rsidRPr="00EF4743" w:rsidRDefault="00683E1B" w:rsidP="00683E1B">
      <w:pPr>
        <w:pStyle w:val="Head1"/>
        <w:tabs>
          <w:tab w:val="right" w:leader="underscore" w:pos="9720"/>
        </w:tabs>
        <w:spacing w:before="0" w:after="0"/>
        <w:outlineLvl w:val="0"/>
        <w:rPr>
          <w:sz w:val="20"/>
          <w:szCs w:val="20"/>
        </w:rPr>
      </w:pPr>
    </w:p>
    <w:p w14:paraId="1E498943" w14:textId="77777777" w:rsidR="00683E1B" w:rsidRDefault="00683E1B" w:rsidP="00683E1B">
      <w:pPr>
        <w:pStyle w:val="Head1"/>
        <w:tabs>
          <w:tab w:val="right" w:leader="underscore" w:pos="9720"/>
        </w:tabs>
        <w:spacing w:before="0"/>
        <w:outlineLvl w:val="0"/>
      </w:pPr>
      <w:r>
        <w:t>Papers under review and working papers</w:t>
      </w:r>
    </w:p>
    <w:p w14:paraId="1F7D4E23" w14:textId="77777777" w:rsidR="00683E1B" w:rsidRDefault="00683E1B" w:rsidP="00683E1B">
      <w:pPr>
        <w:pStyle w:val="Detail"/>
      </w:pPr>
      <w:r w:rsidRPr="00DC181F">
        <w:t>REIT Capital Structure Choices: When Does Preparation Matter?</w:t>
      </w:r>
      <w:r>
        <w:t xml:space="preserve"> (with Desen Lin, Eva Steiner and Susan Wachter). Submitted to Real Estate Economics. </w:t>
      </w:r>
    </w:p>
    <w:p w14:paraId="252B5DD9" w14:textId="77777777" w:rsidR="00683E1B" w:rsidRDefault="00683E1B" w:rsidP="00683E1B">
      <w:pPr>
        <w:pStyle w:val="Detail"/>
      </w:pPr>
      <w:r>
        <w:t>Effectiveness of Foreign Buyer Taxes. (with Tsur Somerville). Working paper.</w:t>
      </w:r>
    </w:p>
    <w:p w14:paraId="0BBC0C1A" w14:textId="77777777" w:rsidR="00683E1B" w:rsidRDefault="00683E1B" w:rsidP="00683E1B">
      <w:pPr>
        <w:pStyle w:val="Detail"/>
      </w:pPr>
      <w:r w:rsidRPr="00FE7F34">
        <w:t>Policy-Based Supply Shocks and Externalities in Real Assets</w:t>
      </w:r>
      <w:r>
        <w:t xml:space="preserve">. (with Sam Monfared and Tsur Somerville). Working paper. </w:t>
      </w:r>
    </w:p>
    <w:p w14:paraId="4A26BF31" w14:textId="32FA4906" w:rsidR="00035C3E" w:rsidRPr="00705AEE" w:rsidRDefault="001C332F" w:rsidP="00705AEE">
      <w:pPr>
        <w:ind w:left="270"/>
        <w:rPr>
          <w:rFonts w:cs="Arial"/>
        </w:rPr>
      </w:pPr>
      <w:r>
        <w:rPr>
          <w:rFonts w:cs="Arial"/>
        </w:rPr>
        <w:t xml:space="preserve"> </w:t>
      </w:r>
    </w:p>
    <w:sectPr w:rsidR="00035C3E" w:rsidRPr="00705AEE">
      <w:headerReference w:type="default" r:id="rId7"/>
      <w:footerReference w:type="default" r:id="rId8"/>
      <w:pgSz w:w="12240" w:h="15840"/>
      <w:pgMar w:top="180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8482" w14:textId="77777777" w:rsidR="00CA19ED" w:rsidRDefault="00CA19ED">
      <w:r>
        <w:separator/>
      </w:r>
    </w:p>
  </w:endnote>
  <w:endnote w:type="continuationSeparator" w:id="0">
    <w:p w14:paraId="09A27732" w14:textId="77777777" w:rsidR="00CA19ED" w:rsidRDefault="00C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9263" w14:textId="37CA23C5" w:rsidR="002E490E" w:rsidRDefault="002E490E">
    <w:pPr>
      <w:pStyle w:val="Footer"/>
    </w:pPr>
    <w:r>
      <w:t xml:space="preserve">Updated: </w:t>
    </w:r>
    <w:r w:rsidR="00CD7ADF">
      <w:t>December</w:t>
    </w:r>
    <w:r>
      <w:t xml:space="preserve"> 20</w:t>
    </w:r>
    <w:r w:rsidR="008202B3">
      <w:t>2</w:t>
    </w:r>
    <w:r w:rsidR="00683E1B">
      <w:t>1</w:t>
    </w:r>
    <w:r>
      <w:tab/>
    </w:r>
    <w:r>
      <w:tab/>
      <w:t xml:space="preserve">Page: </w:t>
    </w:r>
    <w:r>
      <w:fldChar w:fldCharType="begin"/>
    </w:r>
    <w:r>
      <w:instrText xml:space="preserve">PAGE </w:instrText>
    </w:r>
    <w:r>
      <w:fldChar w:fldCharType="separate"/>
    </w:r>
    <w:r w:rsidR="005B65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C8B9" w14:textId="77777777" w:rsidR="00CA19ED" w:rsidRDefault="00CA19ED">
      <w:r>
        <w:separator/>
      </w:r>
    </w:p>
  </w:footnote>
  <w:footnote w:type="continuationSeparator" w:id="0">
    <w:p w14:paraId="0CC34D5A" w14:textId="77777777" w:rsidR="00CA19ED" w:rsidRDefault="00CA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7151" w14:textId="63C954A8" w:rsidR="002E490E" w:rsidRDefault="002E490E">
    <w:pPr>
      <w:widowControl w:val="0"/>
      <w:tabs>
        <w:tab w:val="center" w:pos="4860"/>
        <w:tab w:val="right" w:pos="9720"/>
      </w:tabs>
      <w:rPr>
        <w:rStyle w:val="NameFont"/>
        <w:bCs/>
      </w:rPr>
    </w:pPr>
    <w:r>
      <w:rPr>
        <w:rStyle w:val="NameFont"/>
        <w:bCs/>
        <w:sz w:val="32"/>
        <w:szCs w:val="32"/>
      </w:rPr>
      <w:t>Andrey D. Pavlov, Ph.D.</w:t>
    </w:r>
    <w:r w:rsidR="00CD10B7">
      <w:rPr>
        <w:rStyle w:val="NameFont"/>
        <w:bCs/>
        <w:sz w:val="32"/>
        <w:szCs w:val="32"/>
      </w:rPr>
      <w:tab/>
    </w:r>
    <w:r w:rsidR="00CD10B7">
      <w:rPr>
        <w:rStyle w:val="NameFont"/>
        <w:bCs/>
        <w:sz w:val="32"/>
        <w:szCs w:val="32"/>
      </w:rPr>
      <w:tab/>
    </w:r>
    <w:r w:rsidR="00CD10B7">
      <w:rPr>
        <w:rStyle w:val="NameFont"/>
        <w:bCs/>
      </w:rPr>
      <w:t>Beedie School of Business</w:t>
    </w:r>
  </w:p>
  <w:p w14:paraId="1A5216C8" w14:textId="63E0857F" w:rsidR="002E490E" w:rsidRPr="00CD10B7" w:rsidRDefault="002E490E">
    <w:pPr>
      <w:widowControl w:val="0"/>
      <w:tabs>
        <w:tab w:val="center" w:pos="4860"/>
        <w:tab w:val="right" w:pos="9720"/>
      </w:tabs>
      <w:rPr>
        <w:rStyle w:val="NameFont"/>
        <w:bCs/>
      </w:rPr>
    </w:pPr>
    <w:r w:rsidRPr="00CD10B7">
      <w:rPr>
        <w:rStyle w:val="NameFont"/>
        <w:bCs/>
      </w:rPr>
      <w:t>Professor of Finance</w:t>
    </w:r>
    <w:r w:rsidR="00CD10B7" w:rsidRPr="00CD10B7">
      <w:rPr>
        <w:rStyle w:val="NameFont"/>
        <w:bCs/>
      </w:rPr>
      <w:tab/>
    </w:r>
    <w:r w:rsidR="00CD10B7" w:rsidRPr="00CD10B7">
      <w:rPr>
        <w:rStyle w:val="NameFont"/>
        <w:bCs/>
      </w:rPr>
      <w:tab/>
    </w:r>
    <w:r w:rsidR="00CD10B7" w:rsidRPr="00CD10B7">
      <w:rPr>
        <w:rStyle w:val="NameFont"/>
        <w:bCs/>
      </w:rPr>
      <w:t>Simon Fraser University</w:t>
    </w:r>
  </w:p>
  <w:p w14:paraId="7EB86FA4" w14:textId="417942CD" w:rsidR="00CD10B7" w:rsidRDefault="002E490E">
    <w:pPr>
      <w:widowControl w:val="0"/>
      <w:tabs>
        <w:tab w:val="center" w:pos="4860"/>
        <w:tab w:val="right" w:pos="9720"/>
      </w:tabs>
      <w:rPr>
        <w:rStyle w:val="NameFont"/>
        <w:bCs/>
      </w:rPr>
    </w:pPr>
    <w:r>
      <w:rPr>
        <w:rStyle w:val="NameFont"/>
        <w:bCs/>
      </w:rPr>
      <w:tab/>
    </w:r>
    <w:r w:rsidR="00CD10B7">
      <w:rPr>
        <w:rStyle w:val="NameFont"/>
        <w:bCs/>
      </w:rPr>
      <w:tab/>
    </w:r>
    <w:r w:rsidR="00CD10B7">
      <w:rPr>
        <w:rStyle w:val="NameFont"/>
        <w:bCs/>
      </w:rPr>
      <w:t>Vancouver, British Columbia</w:t>
    </w:r>
  </w:p>
  <w:p w14:paraId="5A40AEED" w14:textId="4DC16A3A" w:rsidR="002E490E" w:rsidRDefault="00CD10B7">
    <w:pPr>
      <w:widowControl w:val="0"/>
      <w:tabs>
        <w:tab w:val="center" w:pos="4860"/>
        <w:tab w:val="right" w:pos="9720"/>
      </w:tabs>
      <w:rPr>
        <w:rStyle w:val="NameFont"/>
        <w:bCs/>
      </w:rPr>
    </w:pPr>
    <w:r>
      <w:rPr>
        <w:rStyle w:val="NameFont"/>
        <w:bCs/>
      </w:rPr>
      <w:tab/>
    </w:r>
    <w:r>
      <w:rPr>
        <w:rStyle w:val="NameFont"/>
        <w:bCs/>
      </w:rPr>
      <w:tab/>
    </w:r>
    <w:r>
      <w:rPr>
        <w:rStyle w:val="NameFont"/>
        <w:bCs/>
      </w:rPr>
      <w:t>Tel: 604 763 3696</w:t>
    </w:r>
  </w:p>
  <w:p w14:paraId="43752B51" w14:textId="23F26CD3" w:rsidR="002E490E" w:rsidRDefault="002E490E">
    <w:pPr>
      <w:widowControl w:val="0"/>
      <w:tabs>
        <w:tab w:val="center" w:pos="4860"/>
        <w:tab w:val="right" w:pos="9720"/>
      </w:tabs>
      <w:rPr>
        <w:rStyle w:val="NameFont"/>
        <w:bCs/>
      </w:rPr>
    </w:pPr>
    <w:r>
      <w:rPr>
        <w:rStyle w:val="NameFont"/>
        <w:bCs/>
      </w:rPr>
      <w:tab/>
    </w:r>
    <w:r w:rsidR="00CD10B7">
      <w:rPr>
        <w:rStyle w:val="NameFont"/>
        <w:bCs/>
      </w:rPr>
      <w:tab/>
    </w:r>
    <w:r w:rsidR="00CD10B7">
      <w:rPr>
        <w:rStyle w:val="NameFont"/>
        <w:bCs/>
      </w:rPr>
      <w:t xml:space="preserve">E-mail: </w:t>
    </w:r>
    <w:hyperlink r:id="rId1" w:history="1">
      <w:r w:rsidR="00CD10B7">
        <w:rPr>
          <w:rStyle w:val="Hyperlink"/>
          <w:rFonts w:cs="Times"/>
        </w:rPr>
        <w:t>apavlov@sfu.ca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41CF"/>
    <w:multiLevelType w:val="hybridMultilevel"/>
    <w:tmpl w:val="A77E20CA"/>
    <w:lvl w:ilvl="0" w:tplc="BEB8305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7190"/>
    <w:multiLevelType w:val="hybridMultilevel"/>
    <w:tmpl w:val="D312ED0A"/>
    <w:lvl w:ilvl="0" w:tplc="59A440EA">
      <w:start w:val="2019"/>
      <w:numFmt w:val="bullet"/>
      <w:lvlText w:val="-"/>
      <w:lvlJc w:val="left"/>
      <w:pPr>
        <w:ind w:left="2417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A4"/>
    <w:rsid w:val="00000777"/>
    <w:rsid w:val="00010BC9"/>
    <w:rsid w:val="00013DAA"/>
    <w:rsid w:val="00014DA4"/>
    <w:rsid w:val="00015B6F"/>
    <w:rsid w:val="00017D8C"/>
    <w:rsid w:val="00022198"/>
    <w:rsid w:val="00035C3E"/>
    <w:rsid w:val="00041EEA"/>
    <w:rsid w:val="0004202E"/>
    <w:rsid w:val="000541C5"/>
    <w:rsid w:val="00056297"/>
    <w:rsid w:val="0006406E"/>
    <w:rsid w:val="00064401"/>
    <w:rsid w:val="000710EC"/>
    <w:rsid w:val="000728BA"/>
    <w:rsid w:val="00075E53"/>
    <w:rsid w:val="00090E20"/>
    <w:rsid w:val="000933AB"/>
    <w:rsid w:val="000B19E2"/>
    <w:rsid w:val="000B4B65"/>
    <w:rsid w:val="000C1534"/>
    <w:rsid w:val="000F3BAD"/>
    <w:rsid w:val="000F7364"/>
    <w:rsid w:val="00110A0D"/>
    <w:rsid w:val="001263CF"/>
    <w:rsid w:val="00127EAC"/>
    <w:rsid w:val="001311F7"/>
    <w:rsid w:val="00141FCB"/>
    <w:rsid w:val="001463DC"/>
    <w:rsid w:val="00146856"/>
    <w:rsid w:val="001469C6"/>
    <w:rsid w:val="001631A4"/>
    <w:rsid w:val="00164272"/>
    <w:rsid w:val="0016523A"/>
    <w:rsid w:val="001731AF"/>
    <w:rsid w:val="00174086"/>
    <w:rsid w:val="00180F6C"/>
    <w:rsid w:val="00185128"/>
    <w:rsid w:val="0019145C"/>
    <w:rsid w:val="001C03FB"/>
    <w:rsid w:val="001C327D"/>
    <w:rsid w:val="001C332F"/>
    <w:rsid w:val="001C50F7"/>
    <w:rsid w:val="001C6C53"/>
    <w:rsid w:val="001D0350"/>
    <w:rsid w:val="001D3222"/>
    <w:rsid w:val="001D7147"/>
    <w:rsid w:val="001E136C"/>
    <w:rsid w:val="001E5FBA"/>
    <w:rsid w:val="001F32E3"/>
    <w:rsid w:val="001F346B"/>
    <w:rsid w:val="002015D0"/>
    <w:rsid w:val="00202001"/>
    <w:rsid w:val="00204FB5"/>
    <w:rsid w:val="00207236"/>
    <w:rsid w:val="00207D56"/>
    <w:rsid w:val="00213CEC"/>
    <w:rsid w:val="00214798"/>
    <w:rsid w:val="00226437"/>
    <w:rsid w:val="0023114F"/>
    <w:rsid w:val="002363F6"/>
    <w:rsid w:val="00246D62"/>
    <w:rsid w:val="00255A00"/>
    <w:rsid w:val="00256727"/>
    <w:rsid w:val="0026769B"/>
    <w:rsid w:val="002717CA"/>
    <w:rsid w:val="00281B0C"/>
    <w:rsid w:val="002843C8"/>
    <w:rsid w:val="00284EE0"/>
    <w:rsid w:val="002902D9"/>
    <w:rsid w:val="002908F7"/>
    <w:rsid w:val="002A6EDA"/>
    <w:rsid w:val="002B0930"/>
    <w:rsid w:val="002B17AA"/>
    <w:rsid w:val="002C3B5A"/>
    <w:rsid w:val="002C6ED0"/>
    <w:rsid w:val="002E45D6"/>
    <w:rsid w:val="002E46A6"/>
    <w:rsid w:val="002E490E"/>
    <w:rsid w:val="002E6304"/>
    <w:rsid w:val="002E7DB0"/>
    <w:rsid w:val="003076AB"/>
    <w:rsid w:val="00314C10"/>
    <w:rsid w:val="00316D83"/>
    <w:rsid w:val="00327C3B"/>
    <w:rsid w:val="00336AA7"/>
    <w:rsid w:val="003406D1"/>
    <w:rsid w:val="0034358E"/>
    <w:rsid w:val="00356394"/>
    <w:rsid w:val="00371F84"/>
    <w:rsid w:val="00372F36"/>
    <w:rsid w:val="00382893"/>
    <w:rsid w:val="00387502"/>
    <w:rsid w:val="0039322E"/>
    <w:rsid w:val="00393BC5"/>
    <w:rsid w:val="003A10AC"/>
    <w:rsid w:val="003A7D81"/>
    <w:rsid w:val="003B004E"/>
    <w:rsid w:val="003B2B08"/>
    <w:rsid w:val="003C2477"/>
    <w:rsid w:val="003C4AC0"/>
    <w:rsid w:val="003D46B1"/>
    <w:rsid w:val="003D4D9D"/>
    <w:rsid w:val="003D4F4D"/>
    <w:rsid w:val="003D739E"/>
    <w:rsid w:val="003F1BFB"/>
    <w:rsid w:val="00410C34"/>
    <w:rsid w:val="00410FFC"/>
    <w:rsid w:val="00415500"/>
    <w:rsid w:val="00421C7B"/>
    <w:rsid w:val="004277BF"/>
    <w:rsid w:val="004309F2"/>
    <w:rsid w:val="004312F1"/>
    <w:rsid w:val="00435998"/>
    <w:rsid w:val="004420AE"/>
    <w:rsid w:val="00443DBD"/>
    <w:rsid w:val="0044576F"/>
    <w:rsid w:val="00452DC1"/>
    <w:rsid w:val="0045416B"/>
    <w:rsid w:val="004560FB"/>
    <w:rsid w:val="00462468"/>
    <w:rsid w:val="00462CCD"/>
    <w:rsid w:val="00466D95"/>
    <w:rsid w:val="004679E1"/>
    <w:rsid w:val="004735FF"/>
    <w:rsid w:val="0047738F"/>
    <w:rsid w:val="00490B57"/>
    <w:rsid w:val="0049278B"/>
    <w:rsid w:val="004A3230"/>
    <w:rsid w:val="004B6A2E"/>
    <w:rsid w:val="004C636D"/>
    <w:rsid w:val="004D6100"/>
    <w:rsid w:val="004E6310"/>
    <w:rsid w:val="005007AC"/>
    <w:rsid w:val="00502DD3"/>
    <w:rsid w:val="00506998"/>
    <w:rsid w:val="00532D7D"/>
    <w:rsid w:val="005353F7"/>
    <w:rsid w:val="00536FA2"/>
    <w:rsid w:val="00546CBD"/>
    <w:rsid w:val="0054774F"/>
    <w:rsid w:val="005510F9"/>
    <w:rsid w:val="005522C9"/>
    <w:rsid w:val="00557A9E"/>
    <w:rsid w:val="005654F6"/>
    <w:rsid w:val="0056556C"/>
    <w:rsid w:val="00570E4B"/>
    <w:rsid w:val="00573E55"/>
    <w:rsid w:val="005744AE"/>
    <w:rsid w:val="005766EE"/>
    <w:rsid w:val="005777CC"/>
    <w:rsid w:val="005861C3"/>
    <w:rsid w:val="00597F47"/>
    <w:rsid w:val="005B2EDE"/>
    <w:rsid w:val="005B6553"/>
    <w:rsid w:val="005C1016"/>
    <w:rsid w:val="005D0903"/>
    <w:rsid w:val="005D463E"/>
    <w:rsid w:val="005E670C"/>
    <w:rsid w:val="005F4B60"/>
    <w:rsid w:val="0060008E"/>
    <w:rsid w:val="006071DF"/>
    <w:rsid w:val="00616B16"/>
    <w:rsid w:val="006330F6"/>
    <w:rsid w:val="0064741F"/>
    <w:rsid w:val="006674AD"/>
    <w:rsid w:val="006731EA"/>
    <w:rsid w:val="00683914"/>
    <w:rsid w:val="00683E1B"/>
    <w:rsid w:val="00684A4C"/>
    <w:rsid w:val="006920E9"/>
    <w:rsid w:val="006930F2"/>
    <w:rsid w:val="006A4FC8"/>
    <w:rsid w:val="006A5028"/>
    <w:rsid w:val="006A79FE"/>
    <w:rsid w:val="006C0488"/>
    <w:rsid w:val="006D057A"/>
    <w:rsid w:val="006F055C"/>
    <w:rsid w:val="006F3718"/>
    <w:rsid w:val="006F6694"/>
    <w:rsid w:val="00701405"/>
    <w:rsid w:val="00705AEE"/>
    <w:rsid w:val="00717961"/>
    <w:rsid w:val="007242B6"/>
    <w:rsid w:val="007504D8"/>
    <w:rsid w:val="007505FB"/>
    <w:rsid w:val="00764A19"/>
    <w:rsid w:val="0076716F"/>
    <w:rsid w:val="007B095A"/>
    <w:rsid w:val="007B0A3D"/>
    <w:rsid w:val="007B6BFC"/>
    <w:rsid w:val="007C02DA"/>
    <w:rsid w:val="007C259B"/>
    <w:rsid w:val="007C43B8"/>
    <w:rsid w:val="007D252D"/>
    <w:rsid w:val="007D41C0"/>
    <w:rsid w:val="007E0000"/>
    <w:rsid w:val="007F5219"/>
    <w:rsid w:val="007F5ABD"/>
    <w:rsid w:val="008016F2"/>
    <w:rsid w:val="00807D53"/>
    <w:rsid w:val="00811741"/>
    <w:rsid w:val="008202B3"/>
    <w:rsid w:val="00822041"/>
    <w:rsid w:val="00825A34"/>
    <w:rsid w:val="008303E3"/>
    <w:rsid w:val="008402BD"/>
    <w:rsid w:val="00840FB2"/>
    <w:rsid w:val="00842E95"/>
    <w:rsid w:val="00872316"/>
    <w:rsid w:val="008801A4"/>
    <w:rsid w:val="00883058"/>
    <w:rsid w:val="00885B68"/>
    <w:rsid w:val="00896A05"/>
    <w:rsid w:val="00897A2E"/>
    <w:rsid w:val="008B2139"/>
    <w:rsid w:val="008D7F6C"/>
    <w:rsid w:val="008E41E1"/>
    <w:rsid w:val="008E6F62"/>
    <w:rsid w:val="008F043A"/>
    <w:rsid w:val="008F5D3A"/>
    <w:rsid w:val="009046C9"/>
    <w:rsid w:val="0091408F"/>
    <w:rsid w:val="00924902"/>
    <w:rsid w:val="00924FBC"/>
    <w:rsid w:val="00927628"/>
    <w:rsid w:val="00953CAD"/>
    <w:rsid w:val="009563BE"/>
    <w:rsid w:val="00972D41"/>
    <w:rsid w:val="00976F14"/>
    <w:rsid w:val="00980EB8"/>
    <w:rsid w:val="00982450"/>
    <w:rsid w:val="0098298D"/>
    <w:rsid w:val="0099000E"/>
    <w:rsid w:val="009913F2"/>
    <w:rsid w:val="009916F1"/>
    <w:rsid w:val="009B2638"/>
    <w:rsid w:val="009B26EE"/>
    <w:rsid w:val="009C5393"/>
    <w:rsid w:val="009C7868"/>
    <w:rsid w:val="009D4DFB"/>
    <w:rsid w:val="009E0F4D"/>
    <w:rsid w:val="009E5C66"/>
    <w:rsid w:val="00A009A6"/>
    <w:rsid w:val="00A03F61"/>
    <w:rsid w:val="00A17F7D"/>
    <w:rsid w:val="00A24F2C"/>
    <w:rsid w:val="00A25581"/>
    <w:rsid w:val="00A3777E"/>
    <w:rsid w:val="00A54FC1"/>
    <w:rsid w:val="00A605BA"/>
    <w:rsid w:val="00A6193B"/>
    <w:rsid w:val="00A6296C"/>
    <w:rsid w:val="00A73188"/>
    <w:rsid w:val="00A75099"/>
    <w:rsid w:val="00A75B3E"/>
    <w:rsid w:val="00A82ABD"/>
    <w:rsid w:val="00A864F2"/>
    <w:rsid w:val="00A8658D"/>
    <w:rsid w:val="00A94C0D"/>
    <w:rsid w:val="00AB2D95"/>
    <w:rsid w:val="00AB7018"/>
    <w:rsid w:val="00AD5E1D"/>
    <w:rsid w:val="00AD6D97"/>
    <w:rsid w:val="00AF51CE"/>
    <w:rsid w:val="00AF77A5"/>
    <w:rsid w:val="00B064D6"/>
    <w:rsid w:val="00B122FB"/>
    <w:rsid w:val="00B17959"/>
    <w:rsid w:val="00B2130C"/>
    <w:rsid w:val="00B24641"/>
    <w:rsid w:val="00B37D50"/>
    <w:rsid w:val="00B41866"/>
    <w:rsid w:val="00B45647"/>
    <w:rsid w:val="00B47E7A"/>
    <w:rsid w:val="00B72A51"/>
    <w:rsid w:val="00B7575E"/>
    <w:rsid w:val="00B87C6F"/>
    <w:rsid w:val="00B96AEC"/>
    <w:rsid w:val="00BA1476"/>
    <w:rsid w:val="00BA2FCB"/>
    <w:rsid w:val="00BA411E"/>
    <w:rsid w:val="00BB6452"/>
    <w:rsid w:val="00BB6A68"/>
    <w:rsid w:val="00BC0904"/>
    <w:rsid w:val="00BD0D53"/>
    <w:rsid w:val="00BD5918"/>
    <w:rsid w:val="00BE6D4D"/>
    <w:rsid w:val="00BF1379"/>
    <w:rsid w:val="00BF473E"/>
    <w:rsid w:val="00C01E0B"/>
    <w:rsid w:val="00C04230"/>
    <w:rsid w:val="00C111BB"/>
    <w:rsid w:val="00C11CC6"/>
    <w:rsid w:val="00C1639A"/>
    <w:rsid w:val="00C26B53"/>
    <w:rsid w:val="00C33A67"/>
    <w:rsid w:val="00C3692A"/>
    <w:rsid w:val="00C425A4"/>
    <w:rsid w:val="00C42F8F"/>
    <w:rsid w:val="00C438E2"/>
    <w:rsid w:val="00C54E02"/>
    <w:rsid w:val="00C571AF"/>
    <w:rsid w:val="00C575AC"/>
    <w:rsid w:val="00C60BBB"/>
    <w:rsid w:val="00C632DB"/>
    <w:rsid w:val="00C6678A"/>
    <w:rsid w:val="00C72CE0"/>
    <w:rsid w:val="00C86C9C"/>
    <w:rsid w:val="00CA19ED"/>
    <w:rsid w:val="00CB1E97"/>
    <w:rsid w:val="00CB6F68"/>
    <w:rsid w:val="00CB7378"/>
    <w:rsid w:val="00CC5EB1"/>
    <w:rsid w:val="00CD10B7"/>
    <w:rsid w:val="00CD6057"/>
    <w:rsid w:val="00CD7ADF"/>
    <w:rsid w:val="00CE51D0"/>
    <w:rsid w:val="00CF0AA2"/>
    <w:rsid w:val="00CF4C19"/>
    <w:rsid w:val="00CF5188"/>
    <w:rsid w:val="00D007DD"/>
    <w:rsid w:val="00D0423E"/>
    <w:rsid w:val="00D3309C"/>
    <w:rsid w:val="00D3428C"/>
    <w:rsid w:val="00D366C3"/>
    <w:rsid w:val="00D63AF3"/>
    <w:rsid w:val="00D702FE"/>
    <w:rsid w:val="00D74AD0"/>
    <w:rsid w:val="00D76EFA"/>
    <w:rsid w:val="00D83678"/>
    <w:rsid w:val="00D83983"/>
    <w:rsid w:val="00D945B5"/>
    <w:rsid w:val="00D95E09"/>
    <w:rsid w:val="00D962C4"/>
    <w:rsid w:val="00DA6F4A"/>
    <w:rsid w:val="00DB0152"/>
    <w:rsid w:val="00DB283B"/>
    <w:rsid w:val="00DC0055"/>
    <w:rsid w:val="00DC6128"/>
    <w:rsid w:val="00DC73AE"/>
    <w:rsid w:val="00DD1552"/>
    <w:rsid w:val="00DE164C"/>
    <w:rsid w:val="00DE60B7"/>
    <w:rsid w:val="00DE7814"/>
    <w:rsid w:val="00DF0FAB"/>
    <w:rsid w:val="00DF528E"/>
    <w:rsid w:val="00DF663F"/>
    <w:rsid w:val="00E02CC5"/>
    <w:rsid w:val="00E15957"/>
    <w:rsid w:val="00E25751"/>
    <w:rsid w:val="00E321AA"/>
    <w:rsid w:val="00E35CB2"/>
    <w:rsid w:val="00E4389B"/>
    <w:rsid w:val="00E54CF7"/>
    <w:rsid w:val="00E64E74"/>
    <w:rsid w:val="00E65417"/>
    <w:rsid w:val="00E77CB4"/>
    <w:rsid w:val="00E821AE"/>
    <w:rsid w:val="00E91C49"/>
    <w:rsid w:val="00E92C01"/>
    <w:rsid w:val="00E94C65"/>
    <w:rsid w:val="00EA141D"/>
    <w:rsid w:val="00EB0E2E"/>
    <w:rsid w:val="00EB37C2"/>
    <w:rsid w:val="00EC1518"/>
    <w:rsid w:val="00EC467E"/>
    <w:rsid w:val="00EC7B66"/>
    <w:rsid w:val="00ED055D"/>
    <w:rsid w:val="00ED1A41"/>
    <w:rsid w:val="00EE00B6"/>
    <w:rsid w:val="00EE4CB3"/>
    <w:rsid w:val="00EF1B01"/>
    <w:rsid w:val="00EF2C07"/>
    <w:rsid w:val="00EF39D7"/>
    <w:rsid w:val="00F02959"/>
    <w:rsid w:val="00F07E7A"/>
    <w:rsid w:val="00F206D9"/>
    <w:rsid w:val="00F20C31"/>
    <w:rsid w:val="00F2225F"/>
    <w:rsid w:val="00F52BCA"/>
    <w:rsid w:val="00F572F3"/>
    <w:rsid w:val="00F600B7"/>
    <w:rsid w:val="00F617D7"/>
    <w:rsid w:val="00F669C3"/>
    <w:rsid w:val="00F7006C"/>
    <w:rsid w:val="00F80E56"/>
    <w:rsid w:val="00F83374"/>
    <w:rsid w:val="00F83E76"/>
    <w:rsid w:val="00F90CEB"/>
    <w:rsid w:val="00F93093"/>
    <w:rsid w:val="00F93E72"/>
    <w:rsid w:val="00FA07C9"/>
    <w:rsid w:val="00FA5AAF"/>
    <w:rsid w:val="00FC042E"/>
    <w:rsid w:val="00FC165F"/>
    <w:rsid w:val="00FC3F69"/>
    <w:rsid w:val="00FC53B6"/>
    <w:rsid w:val="00FC5B9A"/>
    <w:rsid w:val="00FD033F"/>
    <w:rsid w:val="00FD7249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0ED640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35C3E"/>
    <w:pPr>
      <w:keepNext/>
      <w:autoSpaceDE/>
      <w:autoSpaceDN/>
      <w:adjustRightInd/>
      <w:spacing w:before="100"/>
      <w:outlineLvl w:val="4"/>
    </w:pPr>
    <w:rPr>
      <w:rFonts w:ascii="Arial" w:hAnsi="Arial"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meFont">
    <w:name w:val="Name Font"/>
    <w:uiPriority w:val="99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860"/>
        <w:tab w:val="right" w:pos="972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0"/>
      <w:szCs w:val="20"/>
    </w:rPr>
  </w:style>
  <w:style w:type="paragraph" w:customStyle="1" w:styleId="Detail">
    <w:name w:val="Detail"/>
    <w:basedOn w:val="Normal"/>
    <w:uiPriority w:val="99"/>
    <w:pPr>
      <w:keepLines/>
      <w:widowControl w:val="0"/>
      <w:spacing w:before="120"/>
      <w:ind w:left="360"/>
    </w:pPr>
  </w:style>
  <w:style w:type="paragraph" w:customStyle="1" w:styleId="Detail1">
    <w:name w:val="Detail1"/>
    <w:basedOn w:val="Normal"/>
    <w:uiPriority w:val="99"/>
    <w:pPr>
      <w:keepLines/>
      <w:widowControl w:val="0"/>
      <w:tabs>
        <w:tab w:val="left" w:pos="1440"/>
      </w:tabs>
      <w:spacing w:before="120"/>
      <w:ind w:left="1440" w:hanging="1080"/>
    </w:pPr>
  </w:style>
  <w:style w:type="paragraph" w:customStyle="1" w:styleId="Detail2">
    <w:name w:val="Detail2"/>
    <w:basedOn w:val="Normal"/>
    <w:uiPriority w:val="99"/>
    <w:pPr>
      <w:keepLines/>
      <w:widowControl w:val="0"/>
      <w:tabs>
        <w:tab w:val="left" w:pos="1620"/>
      </w:tabs>
      <w:spacing w:before="120"/>
      <w:ind w:left="1620" w:hanging="1260"/>
    </w:pPr>
  </w:style>
  <w:style w:type="paragraph" w:customStyle="1" w:styleId="Detail3">
    <w:name w:val="Detail3"/>
    <w:basedOn w:val="Normal"/>
    <w:uiPriority w:val="99"/>
    <w:pPr>
      <w:keepLines/>
      <w:widowControl w:val="0"/>
      <w:tabs>
        <w:tab w:val="left" w:pos="1800"/>
      </w:tabs>
      <w:spacing w:before="120"/>
      <w:ind w:left="1800" w:hanging="1440"/>
    </w:pPr>
  </w:style>
  <w:style w:type="paragraph" w:customStyle="1" w:styleId="Detail4">
    <w:name w:val="Detail4"/>
    <w:basedOn w:val="Normal"/>
    <w:uiPriority w:val="99"/>
    <w:pPr>
      <w:keepLines/>
      <w:widowControl w:val="0"/>
      <w:tabs>
        <w:tab w:val="left" w:pos="1980"/>
      </w:tabs>
      <w:spacing w:before="120"/>
      <w:ind w:left="1980" w:hanging="1620"/>
    </w:pPr>
  </w:style>
  <w:style w:type="paragraph" w:customStyle="1" w:styleId="Detail5">
    <w:name w:val="Detail5"/>
    <w:basedOn w:val="Normal"/>
    <w:uiPriority w:val="99"/>
    <w:pPr>
      <w:keepLines/>
      <w:widowControl w:val="0"/>
      <w:tabs>
        <w:tab w:val="left" w:pos="3240"/>
      </w:tabs>
      <w:spacing w:before="120"/>
      <w:ind w:left="3240" w:hanging="2880"/>
    </w:pPr>
  </w:style>
  <w:style w:type="paragraph" w:customStyle="1" w:styleId="DetailCont">
    <w:name w:val="Detail_Cont"/>
    <w:basedOn w:val="Detail1"/>
    <w:uiPriority w:val="99"/>
    <w:pPr>
      <w:spacing w:before="0"/>
      <w:ind w:firstLine="0"/>
    </w:pPr>
  </w:style>
  <w:style w:type="paragraph" w:customStyle="1" w:styleId="Head1">
    <w:name w:val="Head1"/>
    <w:basedOn w:val="Normal"/>
    <w:next w:val="Head2"/>
    <w:uiPriority w:val="99"/>
    <w:pPr>
      <w:keepNext/>
      <w:keepLines/>
      <w:widowControl w:val="0"/>
      <w:spacing w:before="240" w:after="120"/>
    </w:pPr>
    <w:rPr>
      <w:b/>
      <w:bCs/>
      <w:sz w:val="32"/>
      <w:szCs w:val="32"/>
    </w:rPr>
  </w:style>
  <w:style w:type="paragraph" w:customStyle="1" w:styleId="Head2">
    <w:name w:val="Head2"/>
    <w:basedOn w:val="Normal"/>
    <w:next w:val="Head3"/>
    <w:uiPriority w:val="99"/>
    <w:pPr>
      <w:keepNext/>
      <w:keepLines/>
      <w:widowControl w:val="0"/>
      <w:spacing w:before="480"/>
    </w:pPr>
    <w:rPr>
      <w:b/>
      <w:bCs/>
      <w:sz w:val="28"/>
      <w:szCs w:val="28"/>
    </w:rPr>
  </w:style>
  <w:style w:type="paragraph" w:customStyle="1" w:styleId="Head3">
    <w:name w:val="Head3"/>
    <w:basedOn w:val="Normal"/>
    <w:next w:val="Head4"/>
    <w:uiPriority w:val="99"/>
    <w:pPr>
      <w:keepNext/>
      <w:keepLines/>
      <w:widowControl w:val="0"/>
      <w:spacing w:before="360"/>
    </w:pPr>
    <w:rPr>
      <w:b/>
      <w:bCs/>
      <w:i/>
      <w:iCs/>
      <w:sz w:val="24"/>
      <w:szCs w:val="24"/>
    </w:rPr>
  </w:style>
  <w:style w:type="paragraph" w:customStyle="1" w:styleId="Head4">
    <w:name w:val="Head4"/>
    <w:basedOn w:val="Normal"/>
    <w:next w:val="Detail1"/>
    <w:uiPriority w:val="99"/>
    <w:pPr>
      <w:keepNext/>
      <w:keepLines/>
      <w:widowControl w:val="0"/>
      <w:spacing w:before="240"/>
    </w:pPr>
    <w:rPr>
      <w:b/>
      <w:bCs/>
    </w:rPr>
  </w:style>
  <w:style w:type="paragraph" w:customStyle="1" w:styleId="H1">
    <w:name w:val="H1"/>
    <w:basedOn w:val="Normal"/>
    <w:next w:val="H2"/>
    <w:uiPriority w:val="99"/>
    <w:pPr>
      <w:keepNext/>
      <w:keepLines/>
      <w:widowControl w:val="0"/>
      <w:spacing w:before="480"/>
      <w:ind w:left="1440"/>
    </w:pPr>
    <w:rPr>
      <w:b/>
      <w:bCs/>
      <w:sz w:val="40"/>
      <w:szCs w:val="40"/>
    </w:rPr>
  </w:style>
  <w:style w:type="paragraph" w:customStyle="1" w:styleId="H2">
    <w:name w:val="H2"/>
    <w:basedOn w:val="Normal"/>
    <w:next w:val="H3"/>
    <w:uiPriority w:val="99"/>
    <w:pPr>
      <w:keepNext/>
      <w:keepLines/>
      <w:widowControl w:val="0"/>
      <w:spacing w:before="360"/>
      <w:ind w:left="1440"/>
    </w:pPr>
    <w:rPr>
      <w:b/>
      <w:bCs/>
      <w:sz w:val="36"/>
      <w:szCs w:val="36"/>
    </w:rPr>
  </w:style>
  <w:style w:type="paragraph" w:customStyle="1" w:styleId="H3">
    <w:name w:val="H3"/>
    <w:basedOn w:val="Normal"/>
    <w:next w:val="H4"/>
    <w:uiPriority w:val="99"/>
    <w:pPr>
      <w:keepNext/>
      <w:keepLines/>
      <w:widowControl w:val="0"/>
      <w:spacing w:before="240"/>
      <w:ind w:left="1440"/>
    </w:pPr>
    <w:rPr>
      <w:b/>
      <w:bCs/>
      <w:sz w:val="32"/>
      <w:szCs w:val="32"/>
    </w:rPr>
  </w:style>
  <w:style w:type="paragraph" w:customStyle="1" w:styleId="H4">
    <w:name w:val="H4"/>
    <w:basedOn w:val="Normal"/>
    <w:next w:val="H5"/>
    <w:uiPriority w:val="99"/>
    <w:pPr>
      <w:keepNext/>
      <w:keepLines/>
      <w:widowControl w:val="0"/>
      <w:spacing w:before="120"/>
      <w:ind w:left="1440"/>
    </w:pPr>
    <w:rPr>
      <w:b/>
      <w:bCs/>
      <w:sz w:val="28"/>
      <w:szCs w:val="28"/>
    </w:rPr>
  </w:style>
  <w:style w:type="paragraph" w:customStyle="1" w:styleId="H5">
    <w:name w:val="H5"/>
    <w:basedOn w:val="Normal"/>
    <w:next w:val="H6"/>
    <w:uiPriority w:val="99"/>
    <w:pPr>
      <w:keepNext/>
      <w:keepLines/>
      <w:widowControl w:val="0"/>
      <w:ind w:left="1440"/>
    </w:pPr>
    <w:rPr>
      <w:b/>
      <w:bCs/>
      <w:sz w:val="24"/>
      <w:szCs w:val="24"/>
    </w:rPr>
  </w:style>
  <w:style w:type="paragraph" w:customStyle="1" w:styleId="H6">
    <w:name w:val="H6"/>
    <w:basedOn w:val="Normal"/>
    <w:next w:val="Detail1"/>
    <w:uiPriority w:val="99"/>
    <w:pPr>
      <w:keepNext/>
      <w:keepLines/>
      <w:widowControl w:val="0"/>
      <w:ind w:left="1440"/>
    </w:pPr>
    <w:rPr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35C3E"/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vlov@sf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1587</Words>
  <Characters>8369</Characters>
  <Application>Microsoft Office Word</Application>
  <DocSecurity>0</DocSecurity>
  <Lines>190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Simon Fraser University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wwwvpa</dc:creator>
  <cp:keywords/>
  <dc:description>Generated by SFU Web System</dc:description>
  <cp:lastModifiedBy>Microsoft Office User</cp:lastModifiedBy>
  <cp:revision>27</cp:revision>
  <cp:lastPrinted>2003-11-11T03:52:00Z</cp:lastPrinted>
  <dcterms:created xsi:type="dcterms:W3CDTF">2020-01-07T07:56:00Z</dcterms:created>
  <dcterms:modified xsi:type="dcterms:W3CDTF">2021-12-17T05:27:00Z</dcterms:modified>
</cp:coreProperties>
</file>