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6947A5" w14:textId="6E2987A0" w:rsidR="00ED6374" w:rsidRPr="0057399D" w:rsidRDefault="00ED6374" w:rsidP="002E344D">
      <w:pPr>
        <w:spacing w:line="480" w:lineRule="auto"/>
        <w:jc w:val="center"/>
        <w:rPr>
          <w:rFonts w:ascii="Times New Roman" w:eastAsia="Times New Roman" w:hAnsi="Times New Roman" w:cs="Times New Roman"/>
          <w:b/>
          <w:sz w:val="28"/>
          <w:szCs w:val="28"/>
        </w:rPr>
      </w:pPr>
      <w:r w:rsidRPr="0057399D">
        <w:rPr>
          <w:rFonts w:ascii="Times New Roman" w:eastAsia="Times New Roman" w:hAnsi="Times New Roman" w:cs="Times New Roman"/>
          <w:b/>
          <w:sz w:val="28"/>
          <w:szCs w:val="28"/>
        </w:rPr>
        <w:t xml:space="preserve">Daniela </w:t>
      </w:r>
      <w:proofErr w:type="spellStart"/>
      <w:r w:rsidRPr="0057399D">
        <w:rPr>
          <w:rFonts w:ascii="Times New Roman" w:eastAsia="Times New Roman" w:hAnsi="Times New Roman" w:cs="Times New Roman"/>
          <w:b/>
          <w:sz w:val="28"/>
          <w:szCs w:val="28"/>
        </w:rPr>
        <w:t>Blettner</w:t>
      </w:r>
      <w:proofErr w:type="spellEnd"/>
    </w:p>
    <w:p w14:paraId="4A44F24C" w14:textId="6731789E" w:rsidR="00ED6374" w:rsidRPr="0057399D" w:rsidRDefault="00ED6374" w:rsidP="002E344D">
      <w:pPr>
        <w:spacing w:line="480" w:lineRule="auto"/>
        <w:jc w:val="center"/>
        <w:rPr>
          <w:rFonts w:ascii="Times New Roman" w:eastAsia="Times New Roman" w:hAnsi="Times New Roman" w:cs="Times New Roman"/>
          <w:b/>
          <w:sz w:val="28"/>
          <w:szCs w:val="28"/>
        </w:rPr>
      </w:pPr>
      <w:r w:rsidRPr="0057399D">
        <w:rPr>
          <w:rFonts w:ascii="Times New Roman" w:eastAsia="Times New Roman" w:hAnsi="Times New Roman" w:cs="Times New Roman"/>
          <w:b/>
          <w:sz w:val="28"/>
          <w:szCs w:val="28"/>
        </w:rPr>
        <w:t>Simon Fraser University</w:t>
      </w:r>
    </w:p>
    <w:p w14:paraId="6FED20E2" w14:textId="7718BD6F" w:rsidR="00ED6374" w:rsidRPr="0057399D" w:rsidRDefault="00ED6374" w:rsidP="002E344D">
      <w:pPr>
        <w:spacing w:line="480" w:lineRule="auto"/>
        <w:jc w:val="center"/>
        <w:rPr>
          <w:rFonts w:ascii="Times New Roman" w:eastAsia="Times New Roman" w:hAnsi="Times New Roman" w:cs="Times New Roman"/>
          <w:b/>
          <w:sz w:val="28"/>
          <w:szCs w:val="28"/>
        </w:rPr>
      </w:pPr>
      <w:proofErr w:type="spellStart"/>
      <w:r w:rsidRPr="0057399D">
        <w:rPr>
          <w:rFonts w:ascii="Times New Roman" w:eastAsia="Times New Roman" w:hAnsi="Times New Roman" w:cs="Times New Roman"/>
          <w:b/>
          <w:sz w:val="28"/>
          <w:szCs w:val="28"/>
        </w:rPr>
        <w:t>Serhan</w:t>
      </w:r>
      <w:proofErr w:type="spellEnd"/>
      <w:r w:rsidRPr="0057399D">
        <w:rPr>
          <w:rFonts w:ascii="Times New Roman" w:eastAsia="Times New Roman" w:hAnsi="Times New Roman" w:cs="Times New Roman"/>
          <w:b/>
          <w:sz w:val="28"/>
          <w:szCs w:val="28"/>
        </w:rPr>
        <w:t xml:space="preserve"> </w:t>
      </w:r>
      <w:proofErr w:type="spellStart"/>
      <w:r w:rsidRPr="0057399D">
        <w:rPr>
          <w:rFonts w:ascii="Times New Roman" w:eastAsia="Times New Roman" w:hAnsi="Times New Roman" w:cs="Times New Roman"/>
          <w:b/>
          <w:sz w:val="28"/>
          <w:szCs w:val="28"/>
        </w:rPr>
        <w:t>Koliloglu</w:t>
      </w:r>
      <w:proofErr w:type="spellEnd"/>
    </w:p>
    <w:p w14:paraId="0B284A08" w14:textId="468E4AD5" w:rsidR="00ED6374" w:rsidRPr="0057399D" w:rsidRDefault="0057399D" w:rsidP="002E344D">
      <w:pPr>
        <w:spacing w:line="480" w:lineRule="auto"/>
        <w:jc w:val="center"/>
        <w:rPr>
          <w:rFonts w:ascii="Times New Roman" w:eastAsia="Times New Roman" w:hAnsi="Times New Roman" w:cs="Times New Roman"/>
          <w:b/>
          <w:sz w:val="28"/>
          <w:szCs w:val="28"/>
        </w:rPr>
      </w:pPr>
      <w:r w:rsidRPr="0057399D">
        <w:rPr>
          <w:rFonts w:ascii="Times New Roman" w:eastAsia="Times New Roman" w:hAnsi="Times New Roman" w:cs="Times New Roman"/>
          <w:b/>
          <w:sz w:val="28"/>
          <w:szCs w:val="28"/>
        </w:rPr>
        <w:t>California State University San Marcos</w:t>
      </w:r>
    </w:p>
    <w:p w14:paraId="5BD9A51E" w14:textId="46F119D9" w:rsidR="0057399D" w:rsidRPr="0057399D" w:rsidRDefault="0057399D" w:rsidP="002E344D">
      <w:pPr>
        <w:spacing w:line="480" w:lineRule="auto"/>
        <w:jc w:val="center"/>
        <w:rPr>
          <w:rFonts w:ascii="Times New Roman" w:eastAsia="Times New Roman" w:hAnsi="Times New Roman" w:cs="Times New Roman"/>
          <w:b/>
          <w:sz w:val="28"/>
          <w:szCs w:val="28"/>
        </w:rPr>
      </w:pPr>
      <w:r w:rsidRPr="0057399D">
        <w:rPr>
          <w:rFonts w:ascii="Times New Roman" w:eastAsia="Times New Roman" w:hAnsi="Times New Roman" w:cs="Times New Roman"/>
          <w:b/>
          <w:sz w:val="28"/>
          <w:szCs w:val="28"/>
        </w:rPr>
        <w:t>Thomas</w:t>
      </w:r>
      <w:r>
        <w:rPr>
          <w:rFonts w:ascii="Times New Roman" w:eastAsia="Times New Roman" w:hAnsi="Times New Roman" w:cs="Times New Roman"/>
          <w:b/>
          <w:sz w:val="28"/>
          <w:szCs w:val="28"/>
        </w:rPr>
        <w:t xml:space="preserve"> G.</w:t>
      </w:r>
      <w:r w:rsidRPr="0057399D">
        <w:rPr>
          <w:rFonts w:ascii="Times New Roman" w:eastAsia="Times New Roman" w:hAnsi="Times New Roman" w:cs="Times New Roman"/>
          <w:b/>
          <w:sz w:val="28"/>
          <w:szCs w:val="28"/>
        </w:rPr>
        <w:t xml:space="preserve"> </w:t>
      </w:r>
      <w:proofErr w:type="spellStart"/>
      <w:r w:rsidRPr="0057399D">
        <w:rPr>
          <w:rFonts w:ascii="Times New Roman" w:eastAsia="Times New Roman" w:hAnsi="Times New Roman" w:cs="Times New Roman"/>
          <w:b/>
          <w:sz w:val="28"/>
          <w:szCs w:val="28"/>
        </w:rPr>
        <w:t>Lechler</w:t>
      </w:r>
      <w:proofErr w:type="spellEnd"/>
    </w:p>
    <w:p w14:paraId="03964AB7" w14:textId="56FB80EB" w:rsidR="0057399D" w:rsidRPr="0057399D" w:rsidRDefault="0057399D" w:rsidP="002E344D">
      <w:pPr>
        <w:spacing w:line="480" w:lineRule="auto"/>
        <w:jc w:val="center"/>
        <w:rPr>
          <w:rFonts w:ascii="Times New Roman" w:eastAsia="Times New Roman" w:hAnsi="Times New Roman" w:cs="Times New Roman"/>
          <w:b/>
          <w:sz w:val="28"/>
          <w:szCs w:val="28"/>
        </w:rPr>
      </w:pPr>
      <w:r w:rsidRPr="0057399D">
        <w:rPr>
          <w:rFonts w:ascii="Times New Roman" w:eastAsia="Times New Roman" w:hAnsi="Times New Roman" w:cs="Times New Roman"/>
          <w:b/>
          <w:sz w:val="28"/>
          <w:szCs w:val="28"/>
        </w:rPr>
        <w:t>Stevens Institute of Technology</w:t>
      </w:r>
    </w:p>
    <w:p w14:paraId="098DAB24" w14:textId="1AEB298B" w:rsidR="0057399D" w:rsidRDefault="0057399D" w:rsidP="002E344D">
      <w:pPr>
        <w:spacing w:line="480" w:lineRule="auto"/>
        <w:jc w:val="center"/>
        <w:rPr>
          <w:rFonts w:ascii="Times New Roman" w:eastAsia="Times New Roman" w:hAnsi="Times New Roman" w:cs="Times New Roman"/>
          <w:b/>
          <w:sz w:val="24"/>
          <w:szCs w:val="24"/>
        </w:rPr>
      </w:pPr>
    </w:p>
    <w:p w14:paraId="4AA58C71" w14:textId="3532660F" w:rsidR="0057399D" w:rsidRPr="0057399D" w:rsidRDefault="0057399D" w:rsidP="002E344D">
      <w:pPr>
        <w:spacing w:line="480" w:lineRule="auto"/>
        <w:jc w:val="center"/>
        <w:rPr>
          <w:rFonts w:ascii="Times New Roman" w:eastAsia="Times New Roman" w:hAnsi="Times New Roman" w:cs="Times New Roman"/>
          <w:b/>
          <w:sz w:val="28"/>
          <w:szCs w:val="28"/>
        </w:rPr>
      </w:pPr>
      <w:r w:rsidRPr="0057399D">
        <w:rPr>
          <w:rFonts w:ascii="Times New Roman" w:eastAsia="Times New Roman" w:hAnsi="Times New Roman" w:cs="Times New Roman"/>
          <w:b/>
          <w:sz w:val="28"/>
          <w:szCs w:val="28"/>
        </w:rPr>
        <w:t>In press at British Journal of Management</w:t>
      </w:r>
      <w:r>
        <w:rPr>
          <w:rFonts w:ascii="Times New Roman" w:eastAsia="Times New Roman" w:hAnsi="Times New Roman" w:cs="Times New Roman"/>
          <w:b/>
          <w:sz w:val="28"/>
          <w:szCs w:val="28"/>
        </w:rPr>
        <w:t xml:space="preserve">. </w:t>
      </w:r>
      <w:r w:rsidRPr="0057399D">
        <w:rPr>
          <w:rFonts w:ascii="Times New Roman" w:eastAsia="Times New Roman" w:hAnsi="Times New Roman" w:cs="Times New Roman"/>
          <w:b/>
          <w:sz w:val="28"/>
          <w:szCs w:val="28"/>
        </w:rPr>
        <w:t>https://onlinelibrary.wiley.com/doi/abs/10.1111/1467-8551.12700</w:t>
      </w:r>
    </w:p>
    <w:p w14:paraId="03B8F6BA" w14:textId="77777777" w:rsidR="00ED6374" w:rsidRDefault="00ED6374" w:rsidP="002E344D">
      <w:pPr>
        <w:spacing w:line="480" w:lineRule="auto"/>
        <w:jc w:val="center"/>
        <w:rPr>
          <w:rFonts w:ascii="Times New Roman" w:eastAsia="Times New Roman" w:hAnsi="Times New Roman" w:cs="Times New Roman"/>
          <w:b/>
          <w:sz w:val="24"/>
          <w:szCs w:val="24"/>
        </w:rPr>
      </w:pPr>
    </w:p>
    <w:p w14:paraId="00803F7E" w14:textId="27EE8033" w:rsidR="0057655F" w:rsidRPr="0057399D" w:rsidRDefault="00750C42" w:rsidP="002E344D">
      <w:pPr>
        <w:spacing w:line="480" w:lineRule="auto"/>
        <w:jc w:val="center"/>
        <w:rPr>
          <w:rFonts w:ascii="Times New Roman" w:eastAsia="Times New Roman" w:hAnsi="Times New Roman" w:cs="Times New Roman"/>
          <w:b/>
          <w:sz w:val="28"/>
          <w:szCs w:val="28"/>
        </w:rPr>
      </w:pPr>
      <w:r w:rsidRPr="0057399D">
        <w:rPr>
          <w:rFonts w:ascii="Times New Roman" w:eastAsia="Times New Roman" w:hAnsi="Times New Roman" w:cs="Times New Roman"/>
          <w:b/>
          <w:sz w:val="28"/>
          <w:szCs w:val="28"/>
        </w:rPr>
        <w:t>SELF-ASSESSMENT VERSUS SELF-IMPROVEMENT</w:t>
      </w:r>
      <w:r w:rsidR="00443C8D" w:rsidRPr="0057399D">
        <w:rPr>
          <w:rFonts w:ascii="Times New Roman" w:eastAsia="Times New Roman" w:hAnsi="Times New Roman" w:cs="Times New Roman"/>
          <w:b/>
          <w:sz w:val="28"/>
          <w:szCs w:val="28"/>
        </w:rPr>
        <w:t xml:space="preserve"> MOTIVES</w:t>
      </w:r>
      <w:r w:rsidRPr="0057399D">
        <w:rPr>
          <w:rFonts w:ascii="Times New Roman" w:eastAsia="Times New Roman" w:hAnsi="Times New Roman" w:cs="Times New Roman"/>
          <w:b/>
          <w:sz w:val="28"/>
          <w:szCs w:val="28"/>
        </w:rPr>
        <w:t>: HOW DOES SOCIAL REFERENCE GROUP SELECTION INFLUENCE ORGANIZATIONAL RESPONSES TO PERFORMANCE FEEDBACK?</w:t>
      </w:r>
    </w:p>
    <w:p w14:paraId="1FFE87C7" w14:textId="77777777" w:rsidR="00750C42" w:rsidRDefault="00750C42">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ABSTRACT</w:t>
      </w:r>
    </w:p>
    <w:p w14:paraId="02ABA740" w14:textId="7B13B1CB" w:rsidR="00750C42" w:rsidRDefault="00750C42">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Performance Feedback Theory (PFT) proposes that organizations compare their performance to other organizations i.e., their social reference group and initiate responses based on this comparison. While social comparison represents a core element of the PFT, it is not well understood how organizations select social reference groups and how this selection may affect organizational responses (e.g., risk taking, change, innovation). We propose that the motives that organizations use to select their social reference groups impact their responses to performance feedback. Our meta-analysis of 99 </w:t>
      </w:r>
      <w:r>
        <w:rPr>
          <w:rFonts w:ascii="Times New Roman" w:eastAsia="Times New Roman" w:hAnsi="Times New Roman" w:cs="Times New Roman"/>
          <w:sz w:val="24"/>
          <w:szCs w:val="24"/>
          <w:highlight w:val="white"/>
        </w:rPr>
        <w:t>empirical PFT studies</w:t>
      </w:r>
      <w:r>
        <w:rPr>
          <w:rFonts w:ascii="Times New Roman" w:eastAsia="Times New Roman" w:hAnsi="Times New Roman" w:cs="Times New Roman"/>
          <w:sz w:val="24"/>
          <w:szCs w:val="24"/>
        </w:rPr>
        <w:t xml:space="preserve"> focuses on two motives underlying the selection of social reference groups for performance feedback: self-assessment and self-</w:t>
      </w:r>
      <w:r>
        <w:rPr>
          <w:rFonts w:ascii="Times New Roman" w:eastAsia="Times New Roman" w:hAnsi="Times New Roman" w:cs="Times New Roman"/>
          <w:sz w:val="24"/>
          <w:szCs w:val="24"/>
        </w:rPr>
        <w:lastRenderedPageBreak/>
        <w:t xml:space="preserve">improvement. While self-assessment through comparison requires the selection of a relevant set of referent organizations, self-improvement relies on the selection of the highest performing referent organizations. Our results show that organizational responses to performance feedback differ depending on which motive-based reference group is selected for comparison. These differences are more evident when performance is above aspirations. This finding has important implications for PFT researchers to </w:t>
      </w:r>
      <w:r w:rsidR="00F05011">
        <w:rPr>
          <w:rFonts w:ascii="Times New Roman" w:eastAsia="Times New Roman" w:hAnsi="Times New Roman" w:cs="Times New Roman"/>
          <w:sz w:val="24"/>
          <w:szCs w:val="24"/>
        </w:rPr>
        <w:t>predict organizational responses more precisely</w:t>
      </w:r>
      <w:r>
        <w:rPr>
          <w:rFonts w:ascii="Times New Roman" w:eastAsia="Times New Roman" w:hAnsi="Times New Roman" w:cs="Times New Roman"/>
          <w:sz w:val="24"/>
          <w:szCs w:val="24"/>
        </w:rPr>
        <w:t xml:space="preserve">. </w:t>
      </w:r>
    </w:p>
    <w:p w14:paraId="0E3C0072" w14:textId="0C2400E6" w:rsidR="00EC7E61" w:rsidRDefault="00750C42">
      <w:pPr>
        <w:spacing w:line="48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Keywords: </w:t>
      </w:r>
      <w:r>
        <w:rPr>
          <w:rFonts w:ascii="Times New Roman" w:eastAsia="Times New Roman" w:hAnsi="Times New Roman" w:cs="Times New Roman"/>
          <w:sz w:val="24"/>
          <w:szCs w:val="24"/>
        </w:rPr>
        <w:t xml:space="preserve">Behavioral Theory of the Firm, Performance Feedback, Aspiration, Social Reference Group, Motive, Meta-Analysis. </w:t>
      </w:r>
    </w:p>
    <w:p w14:paraId="754EADC8" w14:textId="77777777" w:rsidR="00EC7E61" w:rsidRDefault="00EC7E61">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14:paraId="2EE9BFC1" w14:textId="77777777" w:rsidR="00750C42" w:rsidRDefault="00750C42">
      <w:pPr>
        <w:spacing w:line="480" w:lineRule="auto"/>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INTRODUCTION</w:t>
      </w:r>
    </w:p>
    <w:p w14:paraId="586E0B48" w14:textId="5C432B54" w:rsidR="00750C42" w:rsidRPr="00CC65D8" w:rsidRDefault="00C87817" w:rsidP="0057655F">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To</w:t>
      </w:r>
      <w:r w:rsidR="00750C42">
        <w:rPr>
          <w:rFonts w:ascii="Times New Roman" w:eastAsia="Times New Roman" w:hAnsi="Times New Roman" w:cs="Times New Roman"/>
          <w:sz w:val="24"/>
          <w:szCs w:val="24"/>
        </w:rPr>
        <w:t xml:space="preserve"> evaluate their performance, organizations compare their performance with other organizations (i.e., social reference groups) and, in response, they make organizational decisions (e.g., change, risk taking, innovation) </w:t>
      </w:r>
      <w:r w:rsidR="00750C42">
        <w:rPr>
          <w:rFonts w:ascii="Times New Roman" w:eastAsia="Times New Roman" w:hAnsi="Times New Roman" w:cs="Times New Roman"/>
          <w:noProof/>
          <w:sz w:val="24"/>
          <w:szCs w:val="24"/>
        </w:rPr>
        <w:t>(Greve, 2003b)</w:t>
      </w:r>
      <w:r w:rsidR="00750C42">
        <w:rPr>
          <w:rStyle w:val="EndnoteReference"/>
          <w:rFonts w:ascii="Times New Roman" w:eastAsia="Times New Roman" w:hAnsi="Times New Roman" w:cs="Times New Roman"/>
          <w:sz w:val="24"/>
          <w:szCs w:val="24"/>
        </w:rPr>
        <w:endnoteReference w:id="1"/>
      </w:r>
      <w:r w:rsidR="00750C42">
        <w:rPr>
          <w:rFonts w:ascii="Times New Roman" w:eastAsia="Times New Roman" w:hAnsi="Times New Roman" w:cs="Times New Roman"/>
          <w:sz w:val="24"/>
          <w:szCs w:val="24"/>
        </w:rPr>
        <w:t xml:space="preserve">. They may form social aspirations based on different types of social reference groups: their direct rivals, competitors pursuing the same strategy, or the top performers in their industry to evaluate their own performance. Researchers </w:t>
      </w:r>
      <w:r w:rsidR="00750C42">
        <w:rPr>
          <w:rFonts w:ascii="Times New Roman" w:eastAsia="Times New Roman" w:hAnsi="Times New Roman" w:cs="Times New Roman"/>
          <w:noProof/>
          <w:sz w:val="24"/>
          <w:szCs w:val="24"/>
        </w:rPr>
        <w:t>(e.g., Kacperczyk et al., 2015, Labianca et al., 2009, Moliterno et al., 2015, Smith and Chae, 2017)</w:t>
      </w:r>
      <w:r w:rsidR="00750C42">
        <w:rPr>
          <w:rFonts w:ascii="Times New Roman" w:eastAsia="Times New Roman" w:hAnsi="Times New Roman" w:cs="Times New Roman"/>
          <w:sz w:val="24"/>
          <w:szCs w:val="24"/>
        </w:rPr>
        <w:t xml:space="preserve"> in the tradition of the Performance Feedback Theory (PFT) </w:t>
      </w:r>
      <w:r w:rsidR="00750C42">
        <w:rPr>
          <w:rFonts w:ascii="Times New Roman" w:eastAsia="Times New Roman" w:hAnsi="Times New Roman" w:cs="Times New Roman"/>
          <w:noProof/>
          <w:sz w:val="24"/>
          <w:szCs w:val="24"/>
        </w:rPr>
        <w:t>(Greve, 2003b)</w:t>
      </w:r>
      <w:r w:rsidR="00750C42">
        <w:rPr>
          <w:rFonts w:ascii="Times New Roman" w:eastAsia="Times New Roman" w:hAnsi="Times New Roman" w:cs="Times New Roman"/>
          <w:sz w:val="24"/>
          <w:szCs w:val="24"/>
        </w:rPr>
        <w:t xml:space="preserve"> </w:t>
      </w:r>
      <w:r w:rsidR="00750C42" w:rsidRPr="00CC65D8">
        <w:rPr>
          <w:rFonts w:ascii="Times New Roman" w:eastAsia="Times New Roman" w:hAnsi="Times New Roman" w:cs="Times New Roman"/>
          <w:sz w:val="24"/>
          <w:szCs w:val="24"/>
          <w:lang w:val="en-US"/>
        </w:rPr>
        <w:t>have related certain social reference groups to specific organizational responses. Since these important studies are context-bound, the cumulative effect of social reference groups in the PFT is unknown. Researchers do not understand why organizations select certain reference groups and how these groups are related to their responses, leaving social reference groups within the PFT “undertheorized” (</w:t>
      </w:r>
      <w:proofErr w:type="spellStart"/>
      <w:r w:rsidR="00750C42" w:rsidRPr="00CC65D8">
        <w:rPr>
          <w:rFonts w:ascii="Times New Roman" w:eastAsia="Times New Roman" w:hAnsi="Times New Roman" w:cs="Times New Roman"/>
          <w:sz w:val="24"/>
          <w:szCs w:val="24"/>
          <w:lang w:val="en-US"/>
        </w:rPr>
        <w:t>Moliterno</w:t>
      </w:r>
      <w:proofErr w:type="spellEnd"/>
      <w:r w:rsidR="00750C42" w:rsidRPr="00CC65D8">
        <w:rPr>
          <w:rFonts w:ascii="Times New Roman" w:eastAsia="Times New Roman" w:hAnsi="Times New Roman" w:cs="Times New Roman"/>
          <w:sz w:val="24"/>
          <w:szCs w:val="24"/>
          <w:lang w:val="en-US"/>
        </w:rPr>
        <w:t xml:space="preserve"> et al., 2015: 1684).  </w:t>
      </w:r>
    </w:p>
    <w:p w14:paraId="10B39D87" w14:textId="06664D08" w:rsidR="00750C42" w:rsidRDefault="00750C42" w:rsidP="0057655F">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The PFT builds on</w:t>
      </w:r>
      <w:r w:rsidR="002D68D3">
        <w:rPr>
          <w:rFonts w:ascii="Times New Roman" w:eastAsia="Times New Roman" w:hAnsi="Times New Roman" w:cs="Times New Roman"/>
          <w:sz w:val="24"/>
          <w:szCs w:val="24"/>
        </w:rPr>
        <w:t xml:space="preserve"> self-assessment, which is</w:t>
      </w:r>
      <w:r>
        <w:rPr>
          <w:rFonts w:ascii="Times New Roman" w:eastAsia="Times New Roman" w:hAnsi="Times New Roman" w:cs="Times New Roman"/>
          <w:sz w:val="24"/>
          <w:szCs w:val="24"/>
        </w:rPr>
        <w:t xml:space="preserve"> a specific self-evaluation motive,</w:t>
      </w:r>
      <w:r w:rsidR="002D68D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suggesting that organizations </w:t>
      </w:r>
      <w:r>
        <w:rPr>
          <w:rFonts w:ascii="Times New Roman" w:eastAsia="Times New Roman" w:hAnsi="Times New Roman" w:cs="Times New Roman"/>
          <w:sz w:val="24"/>
          <w:szCs w:val="24"/>
          <w:highlight w:val="white"/>
        </w:rPr>
        <w:t>want to accurately assess their status quo relative to their competitor</w:t>
      </w:r>
      <w:r>
        <w:rPr>
          <w:rFonts w:ascii="Times New Roman" w:eastAsia="Times New Roman" w:hAnsi="Times New Roman" w:cs="Times New Roman"/>
          <w:sz w:val="24"/>
          <w:szCs w:val="24"/>
        </w:rPr>
        <w:t xml:space="preserve">s </w:t>
      </w:r>
      <w:r>
        <w:rPr>
          <w:rFonts w:ascii="Times New Roman" w:eastAsia="Times New Roman" w:hAnsi="Times New Roman" w:cs="Times New Roman"/>
          <w:noProof/>
          <w:sz w:val="24"/>
          <w:szCs w:val="24"/>
        </w:rPr>
        <w:t>(Sedikides and Strube, 1997)</w:t>
      </w:r>
      <w:r>
        <w:rPr>
          <w:rFonts w:ascii="Times New Roman" w:eastAsia="Times New Roman" w:hAnsi="Times New Roman" w:cs="Times New Roman"/>
          <w:sz w:val="24"/>
          <w:szCs w:val="24"/>
        </w:rPr>
        <w:t xml:space="preserve">, </w:t>
      </w:r>
      <w:r w:rsidRPr="002D68D3">
        <w:rPr>
          <w:rFonts w:ascii="Times New Roman" w:eastAsia="Times New Roman" w:hAnsi="Times New Roman" w:cs="Times New Roman"/>
          <w:sz w:val="24"/>
          <w:szCs w:val="24"/>
        </w:rPr>
        <w:t>and they select social reference groups accordingly</w:t>
      </w:r>
      <w:r>
        <w:rPr>
          <w:rFonts w:ascii="Times New Roman" w:eastAsia="Times New Roman" w:hAnsi="Times New Roman" w:cs="Times New Roman"/>
          <w:sz w:val="24"/>
          <w:szCs w:val="24"/>
        </w:rPr>
        <w:t xml:space="preserve">. However, prior PFT research has not sufficiently considered other self-evaluation motives </w:t>
      </w:r>
      <w:r>
        <w:rPr>
          <w:rFonts w:ascii="Times New Roman" w:eastAsia="Times New Roman" w:hAnsi="Times New Roman" w:cs="Times New Roman"/>
          <w:noProof/>
          <w:sz w:val="24"/>
          <w:szCs w:val="24"/>
        </w:rPr>
        <w:t>(Audia et al., 2015)</w:t>
      </w:r>
      <w:r>
        <w:rPr>
          <w:rFonts w:ascii="Times New Roman" w:eastAsia="Times New Roman" w:hAnsi="Times New Roman" w:cs="Times New Roman"/>
          <w:sz w:val="24"/>
          <w:szCs w:val="24"/>
        </w:rPr>
        <w:t xml:space="preserve"> and whether organizations respond differently to performance evaluations with social reference groups that are selected based on other motives. Another primary motive of the Self-Evaluation Theory </w:t>
      </w:r>
      <w:r>
        <w:rPr>
          <w:rFonts w:ascii="Times New Roman" w:eastAsia="Times New Roman" w:hAnsi="Times New Roman" w:cs="Times New Roman"/>
          <w:noProof/>
          <w:sz w:val="24"/>
          <w:szCs w:val="24"/>
        </w:rPr>
        <w:t>(Sedikides and Strube, 1997)</w:t>
      </w:r>
      <w:r>
        <w:rPr>
          <w:rFonts w:ascii="Times New Roman" w:eastAsia="Times New Roman" w:hAnsi="Times New Roman" w:cs="Times New Roman"/>
          <w:sz w:val="24"/>
          <w:szCs w:val="24"/>
        </w:rPr>
        <w:t xml:space="preserve"> is self-improvement, the human tendency for upward striving </w:t>
      </w:r>
      <w:r>
        <w:rPr>
          <w:rFonts w:ascii="Times New Roman" w:eastAsia="Times New Roman" w:hAnsi="Times New Roman" w:cs="Times New Roman"/>
          <w:noProof/>
          <w:sz w:val="24"/>
          <w:szCs w:val="24"/>
        </w:rPr>
        <w:t>(Festinger, 1954)</w:t>
      </w:r>
      <w:r>
        <w:rPr>
          <w:rFonts w:ascii="Times New Roman" w:eastAsia="Times New Roman" w:hAnsi="Times New Roman" w:cs="Times New Roman"/>
          <w:sz w:val="24"/>
          <w:szCs w:val="24"/>
        </w:rPr>
        <w:t xml:space="preserve">, that is essential to explaining competitive firm behavior </w:t>
      </w:r>
      <w:r>
        <w:rPr>
          <w:rFonts w:ascii="Times New Roman" w:eastAsia="Times New Roman" w:hAnsi="Times New Roman" w:cs="Times New Roman"/>
          <w:noProof/>
          <w:sz w:val="24"/>
          <w:szCs w:val="24"/>
        </w:rPr>
        <w:t>(Porter, 1996)</w:t>
      </w:r>
      <w:r>
        <w:rPr>
          <w:rFonts w:ascii="Times New Roman" w:eastAsia="Times New Roman" w:hAnsi="Times New Roman" w:cs="Times New Roman"/>
          <w:sz w:val="24"/>
          <w:szCs w:val="24"/>
        </w:rPr>
        <w:t xml:space="preserve">. Unlike the diagnostic self-assessment motive, the self-improvement motive is </w:t>
      </w:r>
      <w:r>
        <w:rPr>
          <w:rFonts w:ascii="Times New Roman" w:eastAsia="Times New Roman" w:hAnsi="Times New Roman" w:cs="Times New Roman"/>
          <w:sz w:val="24"/>
          <w:szCs w:val="24"/>
        </w:rPr>
        <w:lastRenderedPageBreak/>
        <w:t>ambitious. Without the consideration of the self-improvement motive, the PFT cannot explain continuous learning behaviors of firms to generate most economic value.</w:t>
      </w:r>
    </w:p>
    <w:p w14:paraId="55AF0BC0" w14:textId="77777777"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purpose of this paper is to integrate the self-improvement motive into the PFT and analyze its differential impact on the performance feedback process. We chose a meta-analytic approach to produce generalizable insights—beyond the idiosyncratic limitations of a particular empirical context—on the influences of social reference groups. We quantitatively </w:t>
      </w:r>
      <w:proofErr w:type="gramStart"/>
      <w:r>
        <w:rPr>
          <w:rFonts w:ascii="Times New Roman" w:eastAsia="Times New Roman" w:hAnsi="Times New Roman" w:cs="Times New Roman"/>
          <w:sz w:val="24"/>
          <w:szCs w:val="24"/>
        </w:rPr>
        <w:t>compare and contrast</w:t>
      </w:r>
      <w:proofErr w:type="gramEnd"/>
      <w:r>
        <w:rPr>
          <w:rFonts w:ascii="Times New Roman" w:eastAsia="Times New Roman" w:hAnsi="Times New Roman" w:cs="Times New Roman"/>
          <w:sz w:val="24"/>
          <w:szCs w:val="24"/>
        </w:rPr>
        <w:t xml:space="preserve"> the impacts of self-assessment and self-improvement motives across the 99 empirical PFT studies that include social reference groups. We theorize and test how the self-improvement motive leads to predictions that deviate from the PFT.</w:t>
      </w:r>
    </w:p>
    <w:p w14:paraId="37629812" w14:textId="77777777"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We expand the reach and impact of the PFT literature by integrating competitive striving through the inclusion of the self-improvement motive. We theorize about social reference groups within the PFT literature by demonstrating differential effects of motive-based reference groups on organizational responses. We propose an integrated conceptual model that links four self-evaluation motives for reference group selection to explain different motive-based organizational responses. Our generalizable, meta-analytic results demonstrate that differentiating between the self-improvement and self-assessment motives will improve the predictive quality of the PFT by developing a novel theoretical perspective for responses to performance above aspiration </w:t>
      </w:r>
      <w:r>
        <w:rPr>
          <w:rFonts w:ascii="Times New Roman" w:eastAsia="Times New Roman" w:hAnsi="Times New Roman" w:cs="Times New Roman"/>
          <w:noProof/>
          <w:sz w:val="24"/>
          <w:szCs w:val="24"/>
        </w:rPr>
        <w:t>(Kotiloglu et al., 2021)</w:t>
      </w:r>
      <w:r>
        <w:rPr>
          <w:rFonts w:ascii="Times New Roman" w:eastAsia="Times New Roman" w:hAnsi="Times New Roman" w:cs="Times New Roman"/>
          <w:sz w:val="24"/>
          <w:szCs w:val="24"/>
        </w:rPr>
        <w:t xml:space="preserve">. </w:t>
      </w:r>
    </w:p>
    <w:p w14:paraId="5C70C3C7" w14:textId="77777777" w:rsidR="00750C42" w:rsidRDefault="00750C42" w:rsidP="0057655F">
      <w:pPr>
        <w:spacing w:line="480" w:lineRule="auto"/>
        <w:jc w:val="center"/>
        <w:rPr>
          <w:rFonts w:ascii="Times New Roman" w:eastAsia="Times New Roman" w:hAnsi="Times New Roman" w:cs="Times New Roman"/>
          <w:sz w:val="24"/>
          <w:szCs w:val="24"/>
          <w:highlight w:val="yellow"/>
        </w:rPr>
      </w:pPr>
      <w:r>
        <w:rPr>
          <w:rFonts w:ascii="Times New Roman" w:eastAsia="Times New Roman" w:hAnsi="Times New Roman" w:cs="Times New Roman"/>
          <w:b/>
          <w:sz w:val="24"/>
          <w:szCs w:val="24"/>
        </w:rPr>
        <w:t>THEORY AND HYPOTHESES</w:t>
      </w:r>
    </w:p>
    <w:p w14:paraId="6D138FF1" w14:textId="77777777" w:rsidR="00750C42" w:rsidRDefault="00750C42">
      <w:pPr>
        <w:spacing w:line="480" w:lineRule="auto"/>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Self-Assessment in Performance Feedback Theory</w:t>
      </w:r>
    </w:p>
    <w:p w14:paraId="22860AE9" w14:textId="76B18DFE" w:rsidR="00750C42" w:rsidRDefault="00750C42">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highlight w:val="white"/>
        </w:rPr>
        <w:t xml:space="preserve">In the Behavioral Theory of the Firm that the PFT originates from, </w:t>
      </w:r>
      <w:proofErr w:type="spellStart"/>
      <w:r>
        <w:rPr>
          <w:rFonts w:ascii="Times New Roman" w:eastAsia="Times New Roman" w:hAnsi="Times New Roman" w:cs="Times New Roman"/>
          <w:sz w:val="24"/>
          <w:szCs w:val="24"/>
          <w:highlight w:val="white"/>
        </w:rPr>
        <w:t>Cyert</w:t>
      </w:r>
      <w:proofErr w:type="spellEnd"/>
      <w:r>
        <w:rPr>
          <w:rFonts w:ascii="Times New Roman" w:eastAsia="Times New Roman" w:hAnsi="Times New Roman" w:cs="Times New Roman"/>
          <w:sz w:val="24"/>
          <w:szCs w:val="24"/>
          <w:highlight w:val="white"/>
        </w:rPr>
        <w:t xml:space="preserve"> and March propose that firms evaluate their performance based on “</w:t>
      </w:r>
      <w:r>
        <w:rPr>
          <w:rFonts w:ascii="Times New Roman" w:eastAsia="Times New Roman" w:hAnsi="Times New Roman" w:cs="Times New Roman"/>
          <w:sz w:val="24"/>
          <w:szCs w:val="24"/>
        </w:rPr>
        <w:t xml:space="preserve">other </w:t>
      </w:r>
      <w:r>
        <w:rPr>
          <w:rFonts w:ascii="Times New Roman" w:eastAsia="Times New Roman" w:hAnsi="Times New Roman" w:cs="Times New Roman"/>
          <w:i/>
          <w:sz w:val="24"/>
          <w:szCs w:val="24"/>
        </w:rPr>
        <w:t>comparable</w:t>
      </w:r>
      <w:r>
        <w:rPr>
          <w:rStyle w:val="EndnoteReference"/>
          <w:rFonts w:ascii="Times New Roman" w:eastAsia="Times New Roman" w:hAnsi="Times New Roman" w:cs="Times New Roman"/>
          <w:i/>
          <w:sz w:val="24"/>
          <w:szCs w:val="24"/>
        </w:rPr>
        <w:endnoteReference w:id="2"/>
      </w:r>
      <w:r>
        <w:rPr>
          <w:rFonts w:ascii="Times New Roman" w:eastAsia="Times New Roman" w:hAnsi="Times New Roman" w:cs="Times New Roman"/>
          <w:i/>
          <w:sz w:val="24"/>
          <w:szCs w:val="24"/>
          <w:vertAlign w:val="superscript"/>
        </w:rPr>
        <w:t xml:space="preserve"> </w:t>
      </w:r>
      <w:r>
        <w:rPr>
          <w:rFonts w:ascii="Times New Roman" w:eastAsia="Times New Roman" w:hAnsi="Times New Roman" w:cs="Times New Roman"/>
          <w:sz w:val="24"/>
          <w:szCs w:val="24"/>
        </w:rPr>
        <w:t xml:space="preserve">organizations” </w:t>
      </w:r>
      <w:r>
        <w:rPr>
          <w:rFonts w:ascii="Times New Roman" w:eastAsia="Times New Roman" w:hAnsi="Times New Roman" w:cs="Times New Roman"/>
          <w:noProof/>
          <w:sz w:val="24"/>
          <w:szCs w:val="24"/>
        </w:rPr>
        <w:t>(Cyert and March, 1992: 172)</w:t>
      </w:r>
      <w:r>
        <w:rPr>
          <w:rFonts w:ascii="Times New Roman" w:eastAsia="Times New Roman" w:hAnsi="Times New Roman" w:cs="Times New Roman"/>
          <w:sz w:val="24"/>
          <w:szCs w:val="24"/>
        </w:rPr>
        <w:t xml:space="preserve">. These comparisons are based on different self-evaluation motives an organization is </w:t>
      </w:r>
      <w:r>
        <w:rPr>
          <w:rFonts w:ascii="Times New Roman" w:eastAsia="Times New Roman" w:hAnsi="Times New Roman" w:cs="Times New Roman"/>
          <w:sz w:val="24"/>
          <w:szCs w:val="24"/>
        </w:rPr>
        <w:lastRenderedPageBreak/>
        <w:t xml:space="preserve">initiating that are following the Self-Evaluation Theory </w:t>
      </w:r>
      <w:r>
        <w:rPr>
          <w:rFonts w:ascii="Times New Roman" w:eastAsia="Times New Roman" w:hAnsi="Times New Roman" w:cs="Times New Roman"/>
          <w:noProof/>
          <w:sz w:val="24"/>
          <w:szCs w:val="24"/>
        </w:rPr>
        <w:t>(Festinger, 1954, Sedikides and Strube, 1997)</w:t>
      </w:r>
      <w:r>
        <w:rPr>
          <w:rFonts w:ascii="Times New Roman" w:eastAsia="Times New Roman" w:hAnsi="Times New Roman" w:cs="Times New Roman"/>
          <w:sz w:val="24"/>
          <w:szCs w:val="24"/>
        </w:rPr>
        <w:t xml:space="preserve">. The selection of </w:t>
      </w:r>
      <w:r>
        <w:rPr>
          <w:rFonts w:ascii="Times New Roman" w:eastAsia="Times New Roman" w:hAnsi="Times New Roman" w:cs="Times New Roman"/>
          <w:i/>
          <w:sz w:val="24"/>
          <w:szCs w:val="24"/>
        </w:rPr>
        <w:t>comparable</w:t>
      </w:r>
      <w:r>
        <w:rPr>
          <w:rFonts w:ascii="Times New Roman" w:eastAsia="Times New Roman" w:hAnsi="Times New Roman" w:cs="Times New Roman"/>
          <w:sz w:val="24"/>
          <w:szCs w:val="24"/>
        </w:rPr>
        <w:t xml:space="preserve"> organizations satisfies the </w:t>
      </w:r>
      <w:r>
        <w:rPr>
          <w:rFonts w:ascii="Times New Roman" w:eastAsia="Times New Roman" w:hAnsi="Times New Roman" w:cs="Times New Roman"/>
          <w:b/>
          <w:sz w:val="24"/>
          <w:szCs w:val="24"/>
        </w:rPr>
        <w:t>self-assessment motive</w:t>
      </w:r>
      <w:r>
        <w:rPr>
          <w:rFonts w:ascii="Times New Roman" w:eastAsia="Times New Roman" w:hAnsi="Times New Roman" w:cs="Times New Roman"/>
          <w:sz w:val="24"/>
          <w:szCs w:val="24"/>
        </w:rPr>
        <w:t xml:space="preserve">, an important self-evaluation motive </w:t>
      </w:r>
      <w:r>
        <w:rPr>
          <w:rFonts w:ascii="Times New Roman" w:eastAsia="Times New Roman" w:hAnsi="Times New Roman" w:cs="Times New Roman"/>
          <w:noProof/>
          <w:sz w:val="24"/>
          <w:szCs w:val="24"/>
        </w:rPr>
        <w:t>(Audia et al., 2015, Sedikides and Strube, 1997)</w:t>
      </w:r>
      <w:r>
        <w:rPr>
          <w:rFonts w:ascii="Times New Roman" w:eastAsia="Times New Roman" w:hAnsi="Times New Roman" w:cs="Times New Roman"/>
          <w:sz w:val="24"/>
          <w:szCs w:val="24"/>
        </w:rPr>
        <w:t xml:space="preserve">. The self-assessment motive suggests that organizations are motivated to </w:t>
      </w:r>
      <w:r>
        <w:rPr>
          <w:rFonts w:ascii="Times New Roman" w:eastAsia="Times New Roman" w:hAnsi="Times New Roman" w:cs="Times New Roman"/>
          <w:sz w:val="24"/>
          <w:szCs w:val="24"/>
          <w:highlight w:val="white"/>
        </w:rPr>
        <w:t xml:space="preserve">assess their performance </w:t>
      </w:r>
      <w:r>
        <w:rPr>
          <w:rFonts w:ascii="Times New Roman" w:eastAsia="Times New Roman" w:hAnsi="Times New Roman" w:cs="Times New Roman"/>
          <w:sz w:val="24"/>
          <w:szCs w:val="24"/>
        </w:rPr>
        <w:t xml:space="preserve">by looking for diagnostic information about their organization’s performance </w:t>
      </w:r>
      <w:r>
        <w:rPr>
          <w:rFonts w:ascii="Times New Roman" w:eastAsia="Times New Roman" w:hAnsi="Times New Roman" w:cs="Times New Roman"/>
          <w:noProof/>
          <w:sz w:val="24"/>
          <w:szCs w:val="24"/>
          <w:highlight w:val="white"/>
        </w:rPr>
        <w:t>(Audia et al., 2015, Beckman and Lee, 2017, Greve, 2003b)</w:t>
      </w:r>
      <w:r>
        <w:rPr>
          <w:rFonts w:ascii="Times New Roman" w:eastAsia="Times New Roman" w:hAnsi="Times New Roman" w:cs="Times New Roman"/>
          <w:sz w:val="24"/>
          <w:szCs w:val="24"/>
        </w:rPr>
        <w:t xml:space="preserve">. To support an </w:t>
      </w:r>
      <w:r>
        <w:rPr>
          <w:rFonts w:ascii="Times New Roman" w:eastAsia="Times New Roman" w:hAnsi="Times New Roman" w:cs="Times New Roman"/>
          <w:i/>
          <w:sz w:val="24"/>
          <w:szCs w:val="24"/>
        </w:rPr>
        <w:t>accurate</w:t>
      </w:r>
      <w:r>
        <w:rPr>
          <w:rFonts w:ascii="Times New Roman" w:eastAsia="Times New Roman" w:hAnsi="Times New Roman" w:cs="Times New Roman"/>
          <w:sz w:val="24"/>
          <w:szCs w:val="24"/>
        </w:rPr>
        <w:t xml:space="preserve"> evaluation of performance </w:t>
      </w:r>
      <w:r>
        <w:rPr>
          <w:rFonts w:ascii="Times New Roman" w:eastAsia="Times New Roman" w:hAnsi="Times New Roman" w:cs="Times New Roman"/>
          <w:noProof/>
          <w:sz w:val="24"/>
          <w:szCs w:val="24"/>
        </w:rPr>
        <w:t>(Cyert and March, 1992, Festinger, 1954)</w:t>
      </w:r>
      <w:r>
        <w:rPr>
          <w:rFonts w:ascii="Times New Roman" w:eastAsia="Times New Roman" w:hAnsi="Times New Roman" w:cs="Times New Roman"/>
          <w:sz w:val="24"/>
          <w:szCs w:val="24"/>
        </w:rPr>
        <w:t xml:space="preserve">, social reference groups used for self-assessment (from here on: self-assessment groups) are </w:t>
      </w:r>
      <w:proofErr w:type="gramStart"/>
      <w:r>
        <w:rPr>
          <w:rFonts w:ascii="Times New Roman" w:eastAsia="Times New Roman" w:hAnsi="Times New Roman" w:cs="Times New Roman"/>
          <w:sz w:val="24"/>
          <w:szCs w:val="24"/>
        </w:rPr>
        <w:t>similar to</w:t>
      </w:r>
      <w:proofErr w:type="gramEnd"/>
      <w:r>
        <w:rPr>
          <w:rFonts w:ascii="Times New Roman" w:eastAsia="Times New Roman" w:hAnsi="Times New Roman" w:cs="Times New Roman"/>
          <w:sz w:val="24"/>
          <w:szCs w:val="24"/>
        </w:rPr>
        <w:t xml:space="preserve"> the focal organization, since knowledge gained from comparisons with similar firms is to some extent also applicable to the focal firm and, for that reason, easily transferable knowledge. The conditions under which similar companies compete and attain performance are comparable and, thus, they enable meaningful and informative comparison and effective learning from others. </w:t>
      </w:r>
    </w:p>
    <w:p w14:paraId="0B5D57F3" w14:textId="77777777"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All </w:t>
      </w:r>
      <w:r>
        <w:rPr>
          <w:rFonts w:ascii="Times New Roman" w:eastAsia="Times New Roman" w:hAnsi="Times New Roman" w:cs="Times New Roman"/>
          <w:sz w:val="24"/>
          <w:szCs w:val="24"/>
          <w:highlight w:val="white"/>
        </w:rPr>
        <w:t xml:space="preserve">firms in the self-assessment group are comparable to the focal firm (and to each other) with respect to at least one important attribute (e.g., </w:t>
      </w:r>
      <w:r>
        <w:rPr>
          <w:rFonts w:ascii="Times New Roman" w:eastAsia="Times New Roman" w:hAnsi="Times New Roman" w:cs="Times New Roman"/>
          <w:sz w:val="24"/>
          <w:szCs w:val="24"/>
        </w:rPr>
        <w:t>firm type, location, size, product offerings</w:t>
      </w: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rPr>
        <w:t xml:space="preserve">One type of social reference group that supports self-assessment particularly well are strategic groups </w:t>
      </w:r>
      <w:r>
        <w:rPr>
          <w:rFonts w:ascii="Times New Roman" w:eastAsia="Times New Roman" w:hAnsi="Times New Roman" w:cs="Times New Roman"/>
          <w:noProof/>
          <w:sz w:val="24"/>
          <w:szCs w:val="24"/>
        </w:rPr>
        <w:t>(Fiegenbaum and Thomas, 1995, Hodgkinson, 1997, McGee and Thomas, 1986, Panagiotou, 2007, Porac et al., 1989, Reger and Huff, 1993)</w:t>
      </w:r>
      <w:r>
        <w:rPr>
          <w:rFonts w:ascii="Times New Roman" w:eastAsia="Times New Roman" w:hAnsi="Times New Roman" w:cs="Times New Roman"/>
          <w:sz w:val="24"/>
          <w:szCs w:val="24"/>
        </w:rPr>
        <w:t xml:space="preserve"> as they make similar strategic choices, share a comparable risk attitude and skill base </w:t>
      </w:r>
      <w:r>
        <w:rPr>
          <w:rFonts w:ascii="Times New Roman" w:eastAsia="Times New Roman" w:hAnsi="Times New Roman" w:cs="Times New Roman"/>
          <w:noProof/>
          <w:sz w:val="24"/>
          <w:szCs w:val="24"/>
        </w:rPr>
        <w:t>(Caves and Porter, 1977, Fiegenbaum and Thomas, 1995)</w:t>
      </w:r>
      <w:r>
        <w:rPr>
          <w:rFonts w:ascii="Times New Roman" w:eastAsia="Times New Roman" w:hAnsi="Times New Roman" w:cs="Times New Roman"/>
          <w:sz w:val="24"/>
          <w:szCs w:val="24"/>
        </w:rPr>
        <w:t xml:space="preserve">. Other types of self-assessment groups are firms with similar geographic focus </w:t>
      </w:r>
      <w:r>
        <w:rPr>
          <w:rFonts w:ascii="Times New Roman" w:eastAsia="Times New Roman" w:hAnsi="Times New Roman" w:cs="Times New Roman"/>
          <w:noProof/>
          <w:sz w:val="24"/>
          <w:szCs w:val="24"/>
        </w:rPr>
        <w:t>(e.g., Lv et al., 2019, Ma, 2016)</w:t>
      </w:r>
      <w:r>
        <w:rPr>
          <w:rFonts w:ascii="Times New Roman" w:eastAsia="Times New Roman" w:hAnsi="Times New Roman" w:cs="Times New Roman"/>
          <w:sz w:val="24"/>
          <w:szCs w:val="24"/>
        </w:rPr>
        <w:t xml:space="preserve">, similar size </w:t>
      </w:r>
      <w:r>
        <w:rPr>
          <w:rFonts w:ascii="Times New Roman" w:eastAsia="Times New Roman" w:hAnsi="Times New Roman" w:cs="Times New Roman"/>
          <w:noProof/>
          <w:sz w:val="24"/>
          <w:szCs w:val="24"/>
        </w:rPr>
        <w:t>(e.g., Baum et al., 2005)</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highlight w:val="white"/>
        </w:rPr>
        <w:t xml:space="preserve">or </w:t>
      </w:r>
      <w:r>
        <w:rPr>
          <w:rFonts w:ascii="Times New Roman" w:eastAsia="Times New Roman" w:hAnsi="Times New Roman" w:cs="Times New Roman"/>
          <w:sz w:val="24"/>
          <w:szCs w:val="24"/>
        </w:rPr>
        <w:t xml:space="preserve">direct rivals </w:t>
      </w:r>
      <w:r>
        <w:rPr>
          <w:rFonts w:ascii="Times New Roman" w:eastAsia="Times New Roman" w:hAnsi="Times New Roman" w:cs="Times New Roman"/>
          <w:noProof/>
          <w:sz w:val="24"/>
          <w:szCs w:val="24"/>
        </w:rPr>
        <w:t>(e.g., Park, 2007)</w:t>
      </w:r>
      <w:r>
        <w:rPr>
          <w:rFonts w:ascii="Times New Roman" w:eastAsia="Times New Roman" w:hAnsi="Times New Roman" w:cs="Times New Roman"/>
          <w:sz w:val="24"/>
          <w:szCs w:val="24"/>
        </w:rPr>
        <w:t xml:space="preserve">. Performance comparisons in line with the self-assessment motive are central to the PFT and a primary driver for adaptation to performance feedback </w:t>
      </w:r>
      <w:r>
        <w:rPr>
          <w:rFonts w:ascii="Times New Roman" w:eastAsia="Times New Roman" w:hAnsi="Times New Roman" w:cs="Times New Roman"/>
          <w:noProof/>
          <w:sz w:val="24"/>
          <w:szCs w:val="24"/>
        </w:rPr>
        <w:t>(Audia et al., 2015)</w:t>
      </w:r>
      <w:r>
        <w:rPr>
          <w:rFonts w:ascii="Times New Roman" w:eastAsia="Times New Roman" w:hAnsi="Times New Roman" w:cs="Times New Roman"/>
          <w:sz w:val="24"/>
          <w:szCs w:val="24"/>
        </w:rPr>
        <w:t xml:space="preserve">. </w:t>
      </w:r>
    </w:p>
    <w:p w14:paraId="1703CDD0" w14:textId="77777777"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Complementing the self-assessment motive, </w:t>
      </w:r>
      <w:proofErr w:type="spellStart"/>
      <w:r>
        <w:rPr>
          <w:rFonts w:ascii="Times New Roman" w:eastAsia="Times New Roman" w:hAnsi="Times New Roman" w:cs="Times New Roman"/>
          <w:sz w:val="24"/>
          <w:szCs w:val="24"/>
        </w:rPr>
        <w:t>Audia</w:t>
      </w:r>
      <w:proofErr w:type="spellEnd"/>
      <w:r>
        <w:rPr>
          <w:rFonts w:ascii="Times New Roman" w:eastAsia="Times New Roman" w:hAnsi="Times New Roman" w:cs="Times New Roman"/>
          <w:sz w:val="24"/>
          <w:szCs w:val="24"/>
        </w:rPr>
        <w:t xml:space="preserve"> and colleagues </w:t>
      </w:r>
      <w:r>
        <w:rPr>
          <w:rFonts w:ascii="Times New Roman" w:eastAsia="Times New Roman" w:hAnsi="Times New Roman" w:cs="Times New Roman"/>
          <w:noProof/>
          <w:sz w:val="24"/>
          <w:szCs w:val="24"/>
        </w:rPr>
        <w:t>(Audia and Brion, 2007, Audia et al., 2015, Audia and Greve, 2020, Jordan and Audia, 2012, Lim and Audia, 2020)</w:t>
      </w:r>
      <w:r>
        <w:rPr>
          <w:rFonts w:ascii="Times New Roman" w:eastAsia="Times New Roman" w:hAnsi="Times New Roman" w:cs="Times New Roman"/>
          <w:sz w:val="24"/>
          <w:szCs w:val="24"/>
        </w:rPr>
        <w:t xml:space="preserve"> explored self-enhancement, another self-evaluation motive relevant for reference group selection. Particularly when performing below their aspirations, organizational decision-makers may feel threatened and respond to this threatening feedback by distorting performance evaluation to cope and preserve their self-image. They distort performance evaluation by comparing their organizations to lower performing ones </w:t>
      </w:r>
      <w:r>
        <w:rPr>
          <w:rFonts w:ascii="Times New Roman" w:eastAsia="Times New Roman" w:hAnsi="Times New Roman" w:cs="Times New Roman"/>
          <w:noProof/>
          <w:sz w:val="24"/>
          <w:szCs w:val="24"/>
        </w:rPr>
        <w:t>(Audia et al., 2015)</w:t>
      </w:r>
      <w:r>
        <w:rPr>
          <w:rFonts w:ascii="Times New Roman" w:eastAsia="Times New Roman" w:hAnsi="Times New Roman" w:cs="Times New Roman"/>
          <w:sz w:val="24"/>
          <w:szCs w:val="24"/>
        </w:rPr>
        <w:t xml:space="preserve">. Although it is a beneficial affective coping mechanism </w:t>
      </w:r>
      <w:r>
        <w:rPr>
          <w:rFonts w:ascii="Times New Roman" w:eastAsia="Times New Roman" w:hAnsi="Times New Roman" w:cs="Times New Roman"/>
          <w:noProof/>
          <w:sz w:val="24"/>
          <w:szCs w:val="24"/>
        </w:rPr>
        <w:t>(Taylor et al., 2003)</w:t>
      </w:r>
      <w:r>
        <w:rPr>
          <w:rFonts w:ascii="Times New Roman" w:eastAsia="Times New Roman" w:hAnsi="Times New Roman" w:cs="Times New Roman"/>
          <w:sz w:val="24"/>
          <w:szCs w:val="24"/>
        </w:rPr>
        <w:t xml:space="preserve">, self-enhancement has been associated with failure to learn from mistakes </w:t>
      </w:r>
      <w:r>
        <w:rPr>
          <w:rFonts w:ascii="Times New Roman" w:eastAsia="Times New Roman" w:hAnsi="Times New Roman" w:cs="Times New Roman"/>
          <w:noProof/>
          <w:sz w:val="24"/>
          <w:szCs w:val="24"/>
        </w:rPr>
        <w:t>(Colvin and Griffo, 2007, Jordan and Audia, 2012, Sedikides et al., 2007)</w:t>
      </w:r>
      <w:r>
        <w:rPr>
          <w:rFonts w:ascii="Times New Roman" w:eastAsia="Times New Roman" w:hAnsi="Times New Roman" w:cs="Times New Roman"/>
          <w:sz w:val="24"/>
          <w:szCs w:val="24"/>
        </w:rPr>
        <w:t xml:space="preserve"> impeding successful adaptive firm behavior. Explaining functional learning and resulting successful adaptive firm behavior, however, is important if the PFT – an adaptive theory at its core – is to derive impactful recommendations for scholars and managers. </w:t>
      </w:r>
    </w:p>
    <w:p w14:paraId="07FB5173" w14:textId="0D99266D" w:rsidR="00750C42" w:rsidRDefault="00750C42">
      <w:pPr>
        <w:spacing w:line="480" w:lineRule="auto"/>
        <w:ind w:firstLine="720"/>
        <w:rPr>
          <w:rFonts w:ascii="Times New Roman" w:eastAsia="Times New Roman" w:hAnsi="Times New Roman" w:cs="Times New Roman"/>
          <w:sz w:val="24"/>
          <w:szCs w:val="24"/>
          <w:highlight w:val="yellow"/>
        </w:rPr>
      </w:pPr>
      <w:r>
        <w:rPr>
          <w:rFonts w:ascii="Times New Roman" w:eastAsia="Times New Roman" w:hAnsi="Times New Roman" w:cs="Times New Roman"/>
          <w:sz w:val="24"/>
          <w:szCs w:val="24"/>
        </w:rPr>
        <w:t xml:space="preserve">Further, neither self-enhancement nor self-assessment explain competitive-adaptive behavior, an important </w:t>
      </w:r>
      <w:r w:rsidR="00A95F2C">
        <w:rPr>
          <w:rFonts w:ascii="Times New Roman" w:eastAsia="Times New Roman" w:hAnsi="Times New Roman" w:cs="Times New Roman"/>
          <w:sz w:val="24"/>
          <w:szCs w:val="24"/>
        </w:rPr>
        <w:t>strategic</w:t>
      </w:r>
      <w:r>
        <w:rPr>
          <w:rFonts w:ascii="Times New Roman" w:eastAsia="Times New Roman" w:hAnsi="Times New Roman" w:cs="Times New Roman"/>
          <w:sz w:val="24"/>
          <w:szCs w:val="24"/>
        </w:rPr>
        <w:t xml:space="preserve"> firm behavior</w:t>
      </w:r>
      <w:r w:rsidR="00A95F2C">
        <w:rPr>
          <w:rFonts w:ascii="Times New Roman" w:eastAsia="Times New Roman" w:hAnsi="Times New Roman" w:cs="Times New Roman"/>
          <w:sz w:val="24"/>
          <w:szCs w:val="24"/>
        </w:rPr>
        <w:t xml:space="preserve"> (Porter, 1996)</w:t>
      </w:r>
      <w:r>
        <w:rPr>
          <w:rFonts w:ascii="Times New Roman" w:eastAsia="Times New Roman" w:hAnsi="Times New Roman" w:cs="Times New Roman"/>
          <w:sz w:val="24"/>
          <w:szCs w:val="24"/>
        </w:rPr>
        <w:t xml:space="preserve"> that cannot be ignored considering that the Behavioral Theory of the Firm set out to describe heterogeneity in firm behavior </w:t>
      </w:r>
      <w:r>
        <w:rPr>
          <w:rFonts w:ascii="Times New Roman" w:eastAsia="Times New Roman" w:hAnsi="Times New Roman" w:cs="Times New Roman"/>
          <w:noProof/>
          <w:sz w:val="24"/>
          <w:szCs w:val="24"/>
        </w:rPr>
        <w:t>(Cyert and March, 1992)</w:t>
      </w:r>
      <w:r>
        <w:rPr>
          <w:rFonts w:ascii="Times New Roman" w:eastAsia="Times New Roman" w:hAnsi="Times New Roman" w:cs="Times New Roman"/>
          <w:sz w:val="24"/>
          <w:szCs w:val="24"/>
        </w:rPr>
        <w:t xml:space="preserve">. Building on Self-Evaluation Theory </w:t>
      </w:r>
      <w:r>
        <w:rPr>
          <w:rFonts w:ascii="Times New Roman" w:eastAsia="Times New Roman" w:hAnsi="Times New Roman" w:cs="Times New Roman"/>
          <w:noProof/>
          <w:sz w:val="24"/>
          <w:szCs w:val="24"/>
        </w:rPr>
        <w:t>(Sedikides and Strube, 1997)</w:t>
      </w:r>
      <w:r>
        <w:rPr>
          <w:rFonts w:ascii="Times New Roman" w:eastAsia="Times New Roman" w:hAnsi="Times New Roman" w:cs="Times New Roman"/>
          <w:sz w:val="24"/>
          <w:szCs w:val="24"/>
        </w:rPr>
        <w:t xml:space="preserve">, we therefore examine an essential self-evaluation motive that caters to competitive, adaptive behavior: self-improvement. </w:t>
      </w:r>
    </w:p>
    <w:p w14:paraId="4F7054AF" w14:textId="77777777" w:rsidR="00750C42" w:rsidRDefault="0057399D">
      <w:pPr>
        <w:spacing w:line="480" w:lineRule="auto"/>
        <w:rPr>
          <w:rFonts w:ascii="Times New Roman" w:eastAsia="Times New Roman" w:hAnsi="Times New Roman" w:cs="Times New Roman"/>
          <w:b/>
          <w:sz w:val="24"/>
          <w:szCs w:val="24"/>
        </w:rPr>
      </w:pPr>
      <w:sdt>
        <w:sdtPr>
          <w:tag w:val="goog_rdk_2"/>
          <w:id w:val="-1861043279"/>
        </w:sdtPr>
        <w:sdtEndPr/>
        <w:sdtContent/>
      </w:sdt>
      <w:r w:rsidR="00750C42">
        <w:rPr>
          <w:rFonts w:ascii="Times New Roman" w:eastAsia="Times New Roman" w:hAnsi="Times New Roman" w:cs="Times New Roman"/>
          <w:b/>
          <w:sz w:val="24"/>
          <w:szCs w:val="24"/>
        </w:rPr>
        <w:t>Self-Improvement Motive</w:t>
      </w:r>
    </w:p>
    <w:p w14:paraId="236DA859" w14:textId="77777777" w:rsidR="00750C42" w:rsidRDefault="00750C42">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Drawing on the premise that organizations have competitive strive </w:t>
      </w:r>
      <w:r>
        <w:rPr>
          <w:rFonts w:ascii="Times New Roman" w:eastAsia="Times New Roman" w:hAnsi="Times New Roman" w:cs="Times New Roman"/>
          <w:noProof/>
          <w:sz w:val="24"/>
          <w:szCs w:val="24"/>
        </w:rPr>
        <w:t>(Porter, 1996)</w:t>
      </w:r>
      <w:r>
        <w:rPr>
          <w:rFonts w:ascii="Times New Roman" w:eastAsia="Times New Roman" w:hAnsi="Times New Roman" w:cs="Times New Roman"/>
          <w:sz w:val="24"/>
          <w:szCs w:val="24"/>
        </w:rPr>
        <w:t xml:space="preserve">, we suggest that organizations are also motivated by </w:t>
      </w:r>
      <w:r>
        <w:rPr>
          <w:rFonts w:ascii="Times New Roman" w:eastAsia="Times New Roman" w:hAnsi="Times New Roman" w:cs="Times New Roman"/>
          <w:b/>
          <w:sz w:val="24"/>
          <w:szCs w:val="24"/>
        </w:rPr>
        <w:t>self-improvement</w:t>
      </w:r>
      <w:r>
        <w:rPr>
          <w:rFonts w:ascii="Times New Roman" w:eastAsia="Times New Roman" w:hAnsi="Times New Roman" w:cs="Times New Roman"/>
          <w:sz w:val="24"/>
          <w:szCs w:val="24"/>
        </w:rPr>
        <w:t xml:space="preserve"> and, for this reason, compare their firm’s performance to the best firms in their industry. Self-improvement is an important driver for organizations and there is a strong desire for humans in general to self-improve </w:t>
      </w:r>
      <w:r>
        <w:rPr>
          <w:rFonts w:ascii="Times New Roman" w:eastAsia="Times New Roman" w:hAnsi="Times New Roman" w:cs="Times New Roman"/>
          <w:noProof/>
          <w:sz w:val="24"/>
          <w:szCs w:val="24"/>
        </w:rPr>
        <w:t xml:space="preserve">(Sedikides </w:t>
      </w:r>
      <w:r>
        <w:rPr>
          <w:rFonts w:ascii="Times New Roman" w:eastAsia="Times New Roman" w:hAnsi="Times New Roman" w:cs="Times New Roman"/>
          <w:noProof/>
          <w:sz w:val="24"/>
          <w:szCs w:val="24"/>
        </w:rPr>
        <w:lastRenderedPageBreak/>
        <w:t>and Hepper, 2009)</w:t>
      </w:r>
      <w:r>
        <w:rPr>
          <w:rFonts w:ascii="Times New Roman" w:eastAsia="Times New Roman" w:hAnsi="Times New Roman" w:cs="Times New Roman"/>
          <w:sz w:val="24"/>
          <w:szCs w:val="24"/>
        </w:rPr>
        <w:t xml:space="preserve">. When motivated by self-improvement </w:t>
      </w:r>
      <w:r>
        <w:rPr>
          <w:rFonts w:ascii="Times New Roman" w:eastAsia="Times New Roman" w:hAnsi="Times New Roman" w:cs="Times New Roman"/>
          <w:noProof/>
          <w:sz w:val="24"/>
          <w:szCs w:val="24"/>
        </w:rPr>
        <w:t>(Sedikides, 1999, Sedikides and Hepper, 2009, Sedikides and Strube, 1997)</w:t>
      </w:r>
      <w:r>
        <w:rPr>
          <w:rFonts w:ascii="Times New Roman" w:eastAsia="Times New Roman" w:hAnsi="Times New Roman" w:cs="Times New Roman"/>
          <w:sz w:val="24"/>
          <w:szCs w:val="24"/>
        </w:rPr>
        <w:t xml:space="preserve">, decision-makers continually strive for potential amelioration of themselves by making upward comparisons and are looking for information that provides information on how to make progress </w:t>
      </w:r>
      <w:r>
        <w:rPr>
          <w:rFonts w:ascii="Times New Roman" w:eastAsia="Times New Roman" w:hAnsi="Times New Roman" w:cs="Times New Roman"/>
          <w:noProof/>
          <w:sz w:val="24"/>
          <w:szCs w:val="24"/>
        </w:rPr>
        <w:t>(Sedikides and Hepper, 2009)</w:t>
      </w:r>
      <w:r>
        <w:rPr>
          <w:rFonts w:ascii="Times New Roman" w:eastAsia="Times New Roman" w:hAnsi="Times New Roman" w:cs="Times New Roman"/>
          <w:sz w:val="24"/>
          <w:szCs w:val="24"/>
        </w:rPr>
        <w:t xml:space="preserve">. Self-improvement is an “approach motive” </w:t>
      </w:r>
      <w:r>
        <w:rPr>
          <w:rFonts w:ascii="Times New Roman" w:eastAsia="Times New Roman" w:hAnsi="Times New Roman" w:cs="Times New Roman"/>
          <w:noProof/>
          <w:sz w:val="24"/>
          <w:szCs w:val="24"/>
        </w:rPr>
        <w:t>(Elliot and Mapes, 2005)</w:t>
      </w:r>
      <w:r>
        <w:rPr>
          <w:rFonts w:ascii="Times New Roman" w:eastAsia="Times New Roman" w:hAnsi="Times New Roman" w:cs="Times New Roman"/>
          <w:sz w:val="24"/>
          <w:szCs w:val="24"/>
        </w:rPr>
        <w:t xml:space="preserve">, meaning that decision-makers are willing to engage with feedback </w:t>
      </w:r>
      <w:proofErr w:type="gramStart"/>
      <w:r>
        <w:rPr>
          <w:rFonts w:ascii="Times New Roman" w:eastAsia="Times New Roman" w:hAnsi="Times New Roman" w:cs="Times New Roman"/>
          <w:sz w:val="24"/>
          <w:szCs w:val="24"/>
        </w:rPr>
        <w:t>as long as</w:t>
      </w:r>
      <w:proofErr w:type="gramEnd"/>
      <w:r>
        <w:rPr>
          <w:rFonts w:ascii="Times New Roman" w:eastAsia="Times New Roman" w:hAnsi="Times New Roman" w:cs="Times New Roman"/>
          <w:sz w:val="24"/>
          <w:szCs w:val="24"/>
        </w:rPr>
        <w:t xml:space="preserve"> it is not self-threatening and take action based on it.  </w:t>
      </w:r>
    </w:p>
    <w:p w14:paraId="53C2AD68" w14:textId="77777777" w:rsidR="009C6479"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line with this “unidirectional drive upward” </w:t>
      </w:r>
      <w:r>
        <w:rPr>
          <w:rFonts w:ascii="Times New Roman" w:eastAsia="Times New Roman" w:hAnsi="Times New Roman" w:cs="Times New Roman"/>
          <w:noProof/>
          <w:sz w:val="24"/>
          <w:szCs w:val="24"/>
        </w:rPr>
        <w:t>(Festinger, 1954: 124)</w:t>
      </w:r>
      <w:r>
        <w:rPr>
          <w:rFonts w:ascii="Times New Roman" w:eastAsia="Times New Roman" w:hAnsi="Times New Roman" w:cs="Times New Roman"/>
          <w:sz w:val="24"/>
          <w:szCs w:val="24"/>
        </w:rPr>
        <w:t xml:space="preserve">, organizations select reference groups that are, in turn, striving </w:t>
      </w:r>
      <w:r>
        <w:rPr>
          <w:rFonts w:ascii="Times New Roman" w:eastAsia="Times New Roman" w:hAnsi="Times New Roman" w:cs="Times New Roman"/>
          <w:noProof/>
          <w:sz w:val="24"/>
          <w:szCs w:val="24"/>
        </w:rPr>
        <w:t>(Labianca et al., 2009)</w:t>
      </w:r>
      <w:r>
        <w:rPr>
          <w:rFonts w:ascii="Times New Roman" w:eastAsia="Times New Roman" w:hAnsi="Times New Roman" w:cs="Times New Roman"/>
          <w:sz w:val="24"/>
          <w:szCs w:val="24"/>
        </w:rPr>
        <w:t xml:space="preserve">, highly ambitious </w:t>
      </w:r>
      <w:r>
        <w:rPr>
          <w:rFonts w:ascii="Times New Roman" w:eastAsia="Times New Roman" w:hAnsi="Times New Roman" w:cs="Times New Roman"/>
          <w:noProof/>
          <w:sz w:val="24"/>
          <w:szCs w:val="24"/>
        </w:rPr>
        <w:t>(Hu et al., 2011, Moliterno et al., 2015)</w:t>
      </w:r>
      <w:r>
        <w:rPr>
          <w:rFonts w:ascii="Times New Roman" w:eastAsia="Times New Roman" w:hAnsi="Times New Roman" w:cs="Times New Roman"/>
          <w:sz w:val="24"/>
          <w:szCs w:val="24"/>
        </w:rPr>
        <w:t xml:space="preserve">, and leaders </w:t>
      </w:r>
      <w:r>
        <w:rPr>
          <w:rFonts w:ascii="Times New Roman" w:eastAsia="Times New Roman" w:hAnsi="Times New Roman" w:cs="Times New Roman"/>
          <w:noProof/>
          <w:sz w:val="24"/>
          <w:szCs w:val="24"/>
        </w:rPr>
        <w:t>(Boyle and Shapira, 2012)</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highlight w:val="white"/>
        </w:rPr>
        <w:t xml:space="preserve">It is the premise of strategic management </w:t>
      </w:r>
      <w:r>
        <w:rPr>
          <w:rFonts w:ascii="Times New Roman" w:eastAsia="Times New Roman" w:hAnsi="Times New Roman" w:cs="Times New Roman"/>
          <w:noProof/>
          <w:sz w:val="24"/>
          <w:szCs w:val="24"/>
          <w:highlight w:val="white"/>
        </w:rPr>
        <w:t>(Porter, 1996)</w:t>
      </w:r>
      <w:r>
        <w:rPr>
          <w:rFonts w:ascii="Times New Roman" w:eastAsia="Times New Roman" w:hAnsi="Times New Roman" w:cs="Times New Roman"/>
          <w:sz w:val="24"/>
          <w:szCs w:val="24"/>
          <w:highlight w:val="white"/>
        </w:rPr>
        <w:t xml:space="preserve">, organizational risk taking, change, and learning </w:t>
      </w:r>
      <w:r>
        <w:rPr>
          <w:rFonts w:ascii="Times New Roman" w:eastAsia="Times New Roman" w:hAnsi="Times New Roman" w:cs="Times New Roman"/>
          <w:noProof/>
          <w:sz w:val="24"/>
          <w:szCs w:val="24"/>
          <w:highlight w:val="white"/>
        </w:rPr>
        <w:t>(Hoskisson et al., 2017, March and Shapira, 1987, March and Shapira, 1992)</w:t>
      </w:r>
      <w:r>
        <w:rPr>
          <w:rFonts w:ascii="Times New Roman" w:eastAsia="Times New Roman" w:hAnsi="Times New Roman" w:cs="Times New Roman"/>
          <w:sz w:val="24"/>
          <w:szCs w:val="24"/>
          <w:highlight w:val="white"/>
        </w:rPr>
        <w:t xml:space="preserve"> that organizations compare themselves with high-performing organizations. There are many benefits from selecting reference groups based on self-improvement. These organizations likely possess superior market, technology, or other relevant knowledge that the focal organization can learn from. In the light of the centrality of the upward comparison, it is surprising that – apart from the papers by </w:t>
      </w:r>
      <w:r>
        <w:rPr>
          <w:rFonts w:ascii="Times New Roman" w:eastAsia="Times New Roman" w:hAnsi="Times New Roman" w:cs="Times New Roman"/>
          <w:noProof/>
          <w:sz w:val="24"/>
          <w:szCs w:val="24"/>
          <w:highlight w:val="white"/>
        </w:rPr>
        <w:t>Beckman and Lee (2017)</w:t>
      </w: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noProof/>
          <w:sz w:val="24"/>
          <w:szCs w:val="24"/>
          <w:highlight w:val="white"/>
        </w:rPr>
        <w:t>Labianca et al. (2009)</w:t>
      </w:r>
      <w:r>
        <w:rPr>
          <w:rFonts w:ascii="Times New Roman" w:eastAsia="Times New Roman" w:hAnsi="Times New Roman" w:cs="Times New Roman"/>
          <w:sz w:val="24"/>
          <w:szCs w:val="24"/>
          <w:highlight w:val="white"/>
        </w:rPr>
        <w:t xml:space="preserve"> and </w:t>
      </w:r>
      <w:r>
        <w:rPr>
          <w:rFonts w:ascii="Times New Roman" w:eastAsia="Times New Roman" w:hAnsi="Times New Roman" w:cs="Times New Roman"/>
          <w:noProof/>
          <w:sz w:val="24"/>
          <w:szCs w:val="24"/>
          <w:highlight w:val="white"/>
        </w:rPr>
        <w:t>Lee et al. (2020)</w:t>
      </w:r>
      <w:r>
        <w:rPr>
          <w:rFonts w:ascii="Times New Roman" w:eastAsia="Times New Roman" w:hAnsi="Times New Roman" w:cs="Times New Roman"/>
          <w:sz w:val="24"/>
          <w:szCs w:val="24"/>
          <w:highlight w:val="white"/>
        </w:rPr>
        <w:t xml:space="preserve"> – striving has been rarely discussed in the PFT literature. Some PFT papers refer to the industry leaders’ performance </w:t>
      </w:r>
      <w:r>
        <w:rPr>
          <w:rFonts w:ascii="Times New Roman" w:eastAsia="Times New Roman" w:hAnsi="Times New Roman" w:cs="Times New Roman"/>
          <w:noProof/>
          <w:sz w:val="24"/>
          <w:szCs w:val="24"/>
          <w:highlight w:val="white"/>
        </w:rPr>
        <w:t>(Askin and Bothner, 2016, Blettner et al., 2019, Boyle and Shapira, 2012)</w:t>
      </w:r>
      <w:r>
        <w:rPr>
          <w:rFonts w:ascii="Times New Roman" w:eastAsia="Times New Roman" w:hAnsi="Times New Roman" w:cs="Times New Roman"/>
          <w:sz w:val="24"/>
          <w:szCs w:val="24"/>
          <w:highlight w:val="white"/>
        </w:rPr>
        <w:t xml:space="preserve"> and, less frequently, to top ranked firms as striving groups that firms would like to emulate </w:t>
      </w:r>
      <w:r>
        <w:rPr>
          <w:rFonts w:ascii="Times New Roman" w:eastAsia="Times New Roman" w:hAnsi="Times New Roman" w:cs="Times New Roman"/>
          <w:noProof/>
          <w:sz w:val="24"/>
          <w:szCs w:val="24"/>
          <w:highlight w:val="white"/>
        </w:rPr>
        <w:t>(Labianca and Fairbank, 2005)</w:t>
      </w: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sz w:val="24"/>
          <w:szCs w:val="24"/>
        </w:rPr>
        <w:t xml:space="preserve">While there are some empirical PFT studies that include highly ambitious reference groups </w:t>
      </w:r>
      <w:r>
        <w:rPr>
          <w:rFonts w:ascii="Times New Roman" w:eastAsia="Times New Roman" w:hAnsi="Times New Roman" w:cs="Times New Roman"/>
          <w:noProof/>
          <w:sz w:val="24"/>
          <w:szCs w:val="24"/>
        </w:rPr>
        <w:t>(e.g., Labianca et al., 2009, Massini et al., 2005, Moliterno et al., 2015)</w:t>
      </w:r>
      <w:r>
        <w:rPr>
          <w:rFonts w:ascii="Times New Roman" w:eastAsia="Times New Roman" w:hAnsi="Times New Roman" w:cs="Times New Roman"/>
          <w:sz w:val="24"/>
          <w:szCs w:val="24"/>
        </w:rPr>
        <w:t>, it is unclear how organizations respond to performance of self-improvement groups.</w:t>
      </w:r>
    </w:p>
    <w:p w14:paraId="40E031F4" w14:textId="265987FD"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bookmarkStart w:id="0" w:name="_heading=h.1fob9te" w:colFirst="0" w:colLast="0"/>
    <w:bookmarkEnd w:id="0"/>
    <w:p w14:paraId="73E92C63" w14:textId="77777777" w:rsidR="00750C42" w:rsidRDefault="0057399D">
      <w:pPr>
        <w:spacing w:line="480" w:lineRule="auto"/>
        <w:rPr>
          <w:rFonts w:ascii="Times New Roman" w:eastAsia="Times New Roman" w:hAnsi="Times New Roman" w:cs="Times New Roman"/>
          <w:sz w:val="24"/>
          <w:szCs w:val="24"/>
        </w:rPr>
      </w:pPr>
      <w:sdt>
        <w:sdtPr>
          <w:tag w:val="goog_rdk_3"/>
          <w:id w:val="-863059821"/>
        </w:sdtPr>
        <w:sdtEndPr/>
        <w:sdtContent/>
      </w:sdt>
      <w:r w:rsidR="00750C42">
        <w:rPr>
          <w:rFonts w:ascii="Times New Roman" w:eastAsia="Times New Roman" w:hAnsi="Times New Roman" w:cs="Times New Roman"/>
          <w:b/>
          <w:sz w:val="24"/>
          <w:szCs w:val="24"/>
        </w:rPr>
        <w:t>Hypothesis Development</w:t>
      </w:r>
    </w:p>
    <w:p w14:paraId="5358CE7F" w14:textId="77777777" w:rsidR="00750C42" w:rsidRDefault="00750C42">
      <w:pPr>
        <w:spacing w:line="480" w:lineRule="auto"/>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Self-assessment group and performance below aspirations</w:t>
      </w:r>
    </w:p>
    <w:p w14:paraId="10F6B3C8" w14:textId="77777777" w:rsidR="00750C42" w:rsidRDefault="00750C42">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Self-assessment enables organizations to diagnose their own performance. To obtain the most accurate diagnostic feedback possible, firms select and compare themselves to self-assessment reference groups </w:t>
      </w:r>
      <w:proofErr w:type="gramStart"/>
      <w:r>
        <w:rPr>
          <w:rFonts w:ascii="Times New Roman" w:eastAsia="Times New Roman" w:hAnsi="Times New Roman" w:cs="Times New Roman"/>
          <w:sz w:val="24"/>
          <w:szCs w:val="24"/>
        </w:rPr>
        <w:t>similar to</w:t>
      </w:r>
      <w:proofErr w:type="gramEnd"/>
      <w:r>
        <w:rPr>
          <w:rFonts w:ascii="Times New Roman" w:eastAsia="Times New Roman" w:hAnsi="Times New Roman" w:cs="Times New Roman"/>
          <w:sz w:val="24"/>
          <w:szCs w:val="24"/>
        </w:rPr>
        <w:t xml:space="preserve"> themselves in one or more ways (e.g., a strategic group or a direct rival) and therefore particularly meaningful to them. Since</w:t>
      </w:r>
      <w:r>
        <w:rPr>
          <w:rFonts w:ascii="Times New Roman" w:eastAsia="Times New Roman" w:hAnsi="Times New Roman" w:cs="Times New Roman"/>
          <w:sz w:val="24"/>
          <w:szCs w:val="24"/>
          <w:highlight w:val="white"/>
        </w:rPr>
        <w:t xml:space="preserve"> the focal firm and the firms in the self-assessment group are embedded in a similar context, learning from this group will be easier than learning from other, more distant competitors </w:t>
      </w:r>
      <w:r>
        <w:rPr>
          <w:rFonts w:ascii="Times New Roman" w:eastAsia="Times New Roman" w:hAnsi="Times New Roman" w:cs="Times New Roman"/>
          <w:noProof/>
          <w:sz w:val="24"/>
          <w:szCs w:val="24"/>
          <w:highlight w:val="white"/>
        </w:rPr>
        <w:t>(Beckman and Lee, 2017, Wood, 1989)</w:t>
      </w:r>
      <w:r>
        <w:rPr>
          <w:rFonts w:ascii="Times New Roman" w:eastAsia="Times New Roman" w:hAnsi="Times New Roman" w:cs="Times New Roman"/>
          <w:sz w:val="24"/>
          <w:szCs w:val="24"/>
          <w:highlight w:val="white"/>
        </w:rPr>
        <w:t xml:space="preserve">. Information on the performance and context of competitors in the self-assessment group will be relatively accessible to the focal firm, and, due to the shared context (e.g., geography, strategic position), knowledge gained through social learning </w:t>
      </w:r>
      <w:r>
        <w:rPr>
          <w:rFonts w:ascii="Times New Roman" w:eastAsia="Times New Roman" w:hAnsi="Times New Roman" w:cs="Times New Roman"/>
          <w:noProof/>
          <w:sz w:val="24"/>
          <w:szCs w:val="24"/>
          <w:highlight w:val="white"/>
        </w:rPr>
        <w:t>(Lieberman and Asaba, 2006, Peteraf and Shanley, 1997)</w:t>
      </w:r>
      <w:r>
        <w:rPr>
          <w:rFonts w:ascii="Times New Roman" w:eastAsia="Times New Roman" w:hAnsi="Times New Roman" w:cs="Times New Roman"/>
          <w:sz w:val="24"/>
          <w:szCs w:val="24"/>
          <w:highlight w:val="white"/>
        </w:rPr>
        <w:t xml:space="preserve"> will be</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highlight w:val="white"/>
        </w:rPr>
        <w:t xml:space="preserve">transferable to their own organization. </w:t>
      </w:r>
      <w:r>
        <w:rPr>
          <w:rFonts w:ascii="Times New Roman" w:eastAsia="Times New Roman" w:hAnsi="Times New Roman" w:cs="Times New Roman"/>
          <w:sz w:val="24"/>
          <w:szCs w:val="24"/>
        </w:rPr>
        <w:t xml:space="preserve">Since the </w:t>
      </w:r>
      <w:r>
        <w:rPr>
          <w:rFonts w:ascii="Times New Roman" w:eastAsia="Times New Roman" w:hAnsi="Times New Roman" w:cs="Times New Roman"/>
          <w:sz w:val="24"/>
          <w:szCs w:val="24"/>
          <w:highlight w:val="white"/>
        </w:rPr>
        <w:t xml:space="preserve">self-assessment group continuously informs the focal firm and </w:t>
      </w:r>
      <w:r>
        <w:rPr>
          <w:rFonts w:ascii="Times New Roman" w:eastAsia="Times New Roman" w:hAnsi="Times New Roman" w:cs="Times New Roman"/>
          <w:i/>
          <w:sz w:val="24"/>
          <w:szCs w:val="24"/>
          <w:highlight w:val="white"/>
        </w:rPr>
        <w:t>vice versa</w:t>
      </w:r>
      <w:r>
        <w:rPr>
          <w:rFonts w:ascii="Times New Roman" w:eastAsia="Times New Roman" w:hAnsi="Times New Roman" w:cs="Times New Roman"/>
          <w:sz w:val="24"/>
          <w:szCs w:val="24"/>
          <w:highlight w:val="white"/>
        </w:rPr>
        <w:t xml:space="preserve">, they develop a “group-level identity” </w:t>
      </w:r>
      <w:r>
        <w:rPr>
          <w:rFonts w:ascii="Times New Roman" w:eastAsia="Times New Roman" w:hAnsi="Times New Roman" w:cs="Times New Roman"/>
          <w:noProof/>
          <w:sz w:val="24"/>
          <w:szCs w:val="24"/>
          <w:highlight w:val="white"/>
        </w:rPr>
        <w:t>(Peteraf and Shanley, 1997: 165)</w:t>
      </w:r>
      <w:r>
        <w:rPr>
          <w:rFonts w:ascii="Times New Roman" w:eastAsia="Times New Roman" w:hAnsi="Times New Roman" w:cs="Times New Roman"/>
          <w:sz w:val="24"/>
          <w:szCs w:val="24"/>
          <w:highlight w:val="white"/>
        </w:rPr>
        <w:t xml:space="preserve"> or “consensual understanding of what it takes to compete successfully” </w:t>
      </w:r>
      <w:r>
        <w:rPr>
          <w:rFonts w:ascii="Times New Roman" w:eastAsia="Times New Roman" w:hAnsi="Times New Roman" w:cs="Times New Roman"/>
          <w:noProof/>
          <w:sz w:val="24"/>
          <w:szCs w:val="24"/>
          <w:highlight w:val="white"/>
        </w:rPr>
        <w:t>(Porac et al., 1989: 405)</w:t>
      </w:r>
      <w:r>
        <w:rPr>
          <w:rFonts w:ascii="Times New Roman" w:eastAsia="Times New Roman" w:hAnsi="Times New Roman" w:cs="Times New Roman"/>
          <w:sz w:val="24"/>
          <w:szCs w:val="24"/>
        </w:rPr>
        <w:t>. Summarizing the above-mentioned arguments, self</w:t>
      </w:r>
      <w:r>
        <w:rPr>
          <w:rFonts w:ascii="Times New Roman" w:eastAsia="Times New Roman" w:hAnsi="Times New Roman" w:cs="Times New Roman"/>
          <w:sz w:val="24"/>
          <w:szCs w:val="24"/>
          <w:highlight w:val="white"/>
        </w:rPr>
        <w:t xml:space="preserve">-assessment groups are consequential, informative, and constitutive for the focal firm’s competitive identity. For these reasons, organizations become loss averse when their performance falls below the performance of self-assessment groups. Any negative deviation will be perceived as a threat to the organization’s ability to maintain its competitive identity. The PFT predicts that all firms urgently engage in </w:t>
      </w:r>
      <w:proofErr w:type="spellStart"/>
      <w:r>
        <w:rPr>
          <w:rFonts w:ascii="Times New Roman" w:eastAsia="Times New Roman" w:hAnsi="Times New Roman" w:cs="Times New Roman"/>
          <w:sz w:val="24"/>
          <w:szCs w:val="24"/>
          <w:highlight w:val="white"/>
        </w:rPr>
        <w:t>problemistic</w:t>
      </w:r>
      <w:proofErr w:type="spellEnd"/>
      <w:r>
        <w:rPr>
          <w:rFonts w:ascii="Times New Roman" w:eastAsia="Times New Roman" w:hAnsi="Times New Roman" w:cs="Times New Roman"/>
          <w:sz w:val="24"/>
          <w:szCs w:val="24"/>
          <w:highlight w:val="white"/>
        </w:rPr>
        <w:t xml:space="preserve"> search in response to negative performance feedback </w:t>
      </w:r>
      <w:r>
        <w:rPr>
          <w:rFonts w:ascii="Times New Roman" w:eastAsia="Times New Roman" w:hAnsi="Times New Roman" w:cs="Times New Roman"/>
          <w:noProof/>
          <w:sz w:val="24"/>
          <w:szCs w:val="24"/>
          <w:highlight w:val="white"/>
        </w:rPr>
        <w:t>(Greve, 2003b)</w:t>
      </w:r>
      <w:r>
        <w:rPr>
          <w:rFonts w:ascii="Times New Roman" w:eastAsia="Times New Roman" w:hAnsi="Times New Roman" w:cs="Times New Roman"/>
          <w:sz w:val="24"/>
          <w:szCs w:val="24"/>
        </w:rPr>
        <w:t xml:space="preserve">. We expect that focal firms’ comparisons with self-assessment groups further increases their loss aversion, leading to even more intense </w:t>
      </w:r>
      <w:proofErr w:type="spellStart"/>
      <w:r>
        <w:rPr>
          <w:rFonts w:ascii="Times New Roman" w:eastAsia="Times New Roman" w:hAnsi="Times New Roman" w:cs="Times New Roman"/>
          <w:sz w:val="24"/>
          <w:szCs w:val="24"/>
        </w:rPr>
        <w:t>problemistic</w:t>
      </w:r>
      <w:proofErr w:type="spellEnd"/>
      <w:r>
        <w:rPr>
          <w:rFonts w:ascii="Times New Roman" w:eastAsia="Times New Roman" w:hAnsi="Times New Roman" w:cs="Times New Roman"/>
          <w:sz w:val="24"/>
          <w:szCs w:val="24"/>
        </w:rPr>
        <w:t xml:space="preserve"> search and </w:t>
      </w:r>
      <w:r>
        <w:rPr>
          <w:rFonts w:ascii="Times New Roman" w:eastAsia="Times New Roman" w:hAnsi="Times New Roman" w:cs="Times New Roman"/>
          <w:sz w:val="24"/>
          <w:szCs w:val="24"/>
          <w:highlight w:val="white"/>
        </w:rPr>
        <w:t>stronger organizational responses</w:t>
      </w:r>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in an effort to</w:t>
      </w:r>
      <w:proofErr w:type="gramEnd"/>
      <w:r>
        <w:rPr>
          <w:rFonts w:ascii="Times New Roman" w:eastAsia="Times New Roman" w:hAnsi="Times New Roman" w:cs="Times New Roman"/>
          <w:sz w:val="24"/>
          <w:szCs w:val="24"/>
        </w:rPr>
        <w:t xml:space="preserve"> restore performance. Therefore, we propose:</w:t>
      </w:r>
    </w:p>
    <w:p w14:paraId="635BCABC" w14:textId="77777777" w:rsidR="00750C42" w:rsidRDefault="00750C42">
      <w:pPr>
        <w:spacing w:line="480" w:lineRule="auto"/>
        <w:ind w:left="720" w:right="720"/>
        <w:rPr>
          <w:rFonts w:ascii="Times New Roman" w:eastAsia="Times New Roman" w:hAnsi="Times New Roman" w:cs="Times New Roman"/>
          <w:b/>
          <w:sz w:val="24"/>
          <w:szCs w:val="24"/>
          <w:highlight w:val="yellow"/>
        </w:rPr>
      </w:pPr>
      <w:r>
        <w:rPr>
          <w:rFonts w:ascii="Times New Roman" w:eastAsia="Times New Roman" w:hAnsi="Times New Roman" w:cs="Times New Roman"/>
          <w:b/>
          <w:i/>
          <w:sz w:val="24"/>
          <w:szCs w:val="24"/>
        </w:rPr>
        <w:lastRenderedPageBreak/>
        <w:t xml:space="preserve">Hypothesis 1a: </w:t>
      </w:r>
      <w:r>
        <w:rPr>
          <w:rFonts w:ascii="Times New Roman" w:eastAsia="Times New Roman" w:hAnsi="Times New Roman" w:cs="Times New Roman"/>
          <w:i/>
          <w:sz w:val="24"/>
          <w:szCs w:val="24"/>
        </w:rPr>
        <w:t>As performance decreases further below self-assessment group aspiration, the organizational response increases.</w:t>
      </w:r>
    </w:p>
    <w:p w14:paraId="537D6849" w14:textId="77777777" w:rsidR="00750C42" w:rsidRDefault="00750C42">
      <w:pPr>
        <w:spacing w:line="48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Self-improvement groups and performance below aspirations</w:t>
      </w:r>
    </w:p>
    <w:p w14:paraId="0D169822" w14:textId="77777777" w:rsidR="00750C42" w:rsidRDefault="00750C42">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highlight w:val="white"/>
        </w:rPr>
        <w:t xml:space="preserve">In line with </w:t>
      </w:r>
      <w:proofErr w:type="spellStart"/>
      <w:r>
        <w:rPr>
          <w:rFonts w:ascii="Times New Roman" w:eastAsia="Times New Roman" w:hAnsi="Times New Roman" w:cs="Times New Roman"/>
          <w:sz w:val="24"/>
          <w:szCs w:val="24"/>
          <w:highlight w:val="white"/>
        </w:rPr>
        <w:t>problemistic</w:t>
      </w:r>
      <w:proofErr w:type="spellEnd"/>
      <w:r>
        <w:rPr>
          <w:rFonts w:ascii="Times New Roman" w:eastAsia="Times New Roman" w:hAnsi="Times New Roman" w:cs="Times New Roman"/>
          <w:sz w:val="24"/>
          <w:szCs w:val="24"/>
          <w:highlight w:val="white"/>
        </w:rPr>
        <w:t xml:space="preserve"> search, which suggests increased responses to performance below aspirations (as proposed by the PFT), we argue that firms strive to learn from the best through vicarious learning </w:t>
      </w:r>
      <w:r>
        <w:rPr>
          <w:rFonts w:ascii="Times New Roman" w:eastAsia="Times New Roman" w:hAnsi="Times New Roman" w:cs="Times New Roman"/>
          <w:noProof/>
          <w:sz w:val="24"/>
          <w:szCs w:val="24"/>
          <w:highlight w:val="white"/>
        </w:rPr>
        <w:t>(Denrell, 2003, Haunschild and Miner, 1997, March, 1991, Miner and Mezias, 1996)</w:t>
      </w:r>
      <w:r>
        <w:rPr>
          <w:rFonts w:ascii="Times New Roman" w:eastAsia="Times New Roman" w:hAnsi="Times New Roman" w:cs="Times New Roman"/>
          <w:sz w:val="24"/>
          <w:szCs w:val="24"/>
          <w:highlight w:val="white"/>
        </w:rPr>
        <w:t xml:space="preserve"> and, thus, respond to the attainment discrepancy relative to the self-improve</w:t>
      </w:r>
      <w:r>
        <w:rPr>
          <w:rFonts w:ascii="Times New Roman" w:eastAsia="Times New Roman" w:hAnsi="Times New Roman" w:cs="Times New Roman"/>
          <w:sz w:val="24"/>
          <w:szCs w:val="24"/>
        </w:rPr>
        <w:t xml:space="preserve">ment group. </w:t>
      </w:r>
      <w:r>
        <w:rPr>
          <w:rFonts w:ascii="Times New Roman" w:eastAsia="Times New Roman" w:hAnsi="Times New Roman" w:cs="Times New Roman"/>
          <w:sz w:val="24"/>
          <w:szCs w:val="24"/>
          <w:highlight w:val="white"/>
        </w:rPr>
        <w:t xml:space="preserve">Many firms in the industry regard the high performing firms in the self-improvement group as salient role models that they follow </w:t>
      </w:r>
      <w:r>
        <w:rPr>
          <w:rFonts w:ascii="Times New Roman" w:eastAsia="Times New Roman" w:hAnsi="Times New Roman" w:cs="Times New Roman"/>
          <w:noProof/>
          <w:sz w:val="24"/>
          <w:szCs w:val="24"/>
          <w:highlight w:val="white"/>
        </w:rPr>
        <w:t>(Boyle and Shapira, 2012, Park, 2007)</w:t>
      </w:r>
      <w:r>
        <w:rPr>
          <w:rFonts w:ascii="Times New Roman" w:eastAsia="Times New Roman" w:hAnsi="Times New Roman" w:cs="Times New Roman"/>
          <w:sz w:val="24"/>
          <w:szCs w:val="24"/>
          <w:highlight w:val="white"/>
        </w:rPr>
        <w:t xml:space="preserve">. Therefore, firms, especially those believing that they can change their performance and status, likely strive more </w:t>
      </w:r>
      <w:r>
        <w:rPr>
          <w:rFonts w:ascii="Times New Roman" w:eastAsia="Times New Roman" w:hAnsi="Times New Roman" w:cs="Times New Roman"/>
          <w:noProof/>
          <w:sz w:val="24"/>
          <w:szCs w:val="24"/>
          <w:highlight w:val="white"/>
        </w:rPr>
        <w:t>(Lockwood and Kunda, 1997)</w:t>
      </w:r>
      <w:r>
        <w:rPr>
          <w:rFonts w:ascii="Times New Roman" w:eastAsia="Times New Roman" w:hAnsi="Times New Roman" w:cs="Times New Roman"/>
          <w:sz w:val="24"/>
          <w:szCs w:val="24"/>
          <w:highlight w:val="white"/>
        </w:rPr>
        <w:t xml:space="preserve">.  Motivated by this striving comparison with the best firms in the industry, focal firms engage in ambitious experimentation and greater risk taking to achieve results that go above and beyond their own current performance </w:t>
      </w:r>
      <w:r>
        <w:rPr>
          <w:rFonts w:ascii="Times New Roman" w:eastAsia="Times New Roman" w:hAnsi="Times New Roman" w:cs="Times New Roman"/>
          <w:noProof/>
          <w:sz w:val="24"/>
          <w:szCs w:val="24"/>
          <w:highlight w:val="white"/>
        </w:rPr>
        <w:t>(Hamel and Prahalad, 1993, Hu et al., 2011)</w:t>
      </w:r>
      <w:r>
        <w:rPr>
          <w:rFonts w:ascii="Times New Roman" w:eastAsia="Times New Roman" w:hAnsi="Times New Roman" w:cs="Times New Roman"/>
          <w:sz w:val="24"/>
          <w:szCs w:val="24"/>
          <w:highlight w:val="white"/>
        </w:rPr>
        <w:t>.</w:t>
      </w:r>
      <w:r>
        <w:rPr>
          <w:rFonts w:ascii="Times New Roman" w:eastAsia="Times New Roman" w:hAnsi="Times New Roman" w:cs="Times New Roman"/>
          <w:sz w:val="24"/>
          <w:szCs w:val="24"/>
        </w:rPr>
        <w:t xml:space="preserve">Given that for the focal firm this </w:t>
      </w:r>
      <w:r>
        <w:rPr>
          <w:rFonts w:ascii="Times New Roman" w:eastAsia="Times New Roman" w:hAnsi="Times New Roman" w:cs="Times New Roman"/>
          <w:sz w:val="24"/>
          <w:szCs w:val="24"/>
          <w:highlight w:val="white"/>
        </w:rPr>
        <w:t xml:space="preserve">discrepancy to the best firms in the industry will be large, we expect increases in organizational responses, arising from the focal firm’s comparison with the self-improvement group. </w:t>
      </w:r>
      <w:r>
        <w:rPr>
          <w:rFonts w:ascii="Times New Roman" w:eastAsia="Times New Roman" w:hAnsi="Times New Roman" w:cs="Times New Roman"/>
          <w:sz w:val="24"/>
          <w:szCs w:val="24"/>
        </w:rPr>
        <w:t>Therefore, we propose:</w:t>
      </w:r>
    </w:p>
    <w:p w14:paraId="36D6FB23" w14:textId="77777777" w:rsidR="00750C42" w:rsidRDefault="00750C42">
      <w:pPr>
        <w:spacing w:line="480" w:lineRule="auto"/>
        <w:ind w:left="720" w:right="720"/>
        <w:rPr>
          <w:rFonts w:ascii="Times New Roman" w:eastAsia="Times New Roman" w:hAnsi="Times New Roman" w:cs="Times New Roman"/>
          <w:i/>
          <w:sz w:val="24"/>
          <w:szCs w:val="24"/>
        </w:rPr>
      </w:pPr>
      <w:r>
        <w:rPr>
          <w:rFonts w:ascii="Times New Roman" w:eastAsia="Times New Roman" w:hAnsi="Times New Roman" w:cs="Times New Roman"/>
          <w:b/>
          <w:i/>
          <w:sz w:val="24"/>
          <w:szCs w:val="24"/>
          <w:highlight w:val="white"/>
        </w:rPr>
        <w:t>Hypothesis 1b:</w:t>
      </w:r>
      <w:r>
        <w:rPr>
          <w:rFonts w:ascii="Times New Roman" w:eastAsia="Times New Roman" w:hAnsi="Times New Roman" w:cs="Times New Roman"/>
          <w:i/>
          <w:sz w:val="24"/>
          <w:szCs w:val="24"/>
          <w:highlight w:val="white"/>
        </w:rPr>
        <w:t xml:space="preserve"> </w:t>
      </w:r>
      <w:r>
        <w:rPr>
          <w:rFonts w:ascii="Times New Roman" w:eastAsia="Times New Roman" w:hAnsi="Times New Roman" w:cs="Times New Roman"/>
          <w:i/>
          <w:sz w:val="24"/>
          <w:szCs w:val="24"/>
        </w:rPr>
        <w:t>As performance decreases further below self-improvement group</w:t>
      </w:r>
      <w:r>
        <w:rPr>
          <w:rFonts w:ascii="Times New Roman" w:eastAsia="Times New Roman" w:hAnsi="Times New Roman" w:cs="Times New Roman"/>
          <w:b/>
          <w:i/>
          <w:sz w:val="24"/>
          <w:szCs w:val="24"/>
        </w:rPr>
        <w:t xml:space="preserve"> </w:t>
      </w:r>
      <w:r>
        <w:rPr>
          <w:rFonts w:ascii="Times New Roman" w:eastAsia="Times New Roman" w:hAnsi="Times New Roman" w:cs="Times New Roman"/>
          <w:i/>
          <w:sz w:val="24"/>
          <w:szCs w:val="24"/>
        </w:rPr>
        <w:t>aspiration, the organizational response increases.</w:t>
      </w:r>
    </w:p>
    <w:p w14:paraId="706D3CB0" w14:textId="77777777" w:rsidR="00750C42" w:rsidRDefault="00750C42">
      <w:pPr>
        <w:spacing w:line="480" w:lineRule="auto"/>
        <w:ind w:right="720"/>
        <w:rPr>
          <w:rFonts w:ascii="Times New Roman" w:eastAsia="Times New Roman" w:hAnsi="Times New Roman" w:cs="Times New Roman"/>
          <w:b/>
          <w:sz w:val="24"/>
          <w:szCs w:val="24"/>
        </w:rPr>
      </w:pPr>
      <w:r>
        <w:rPr>
          <w:rFonts w:ascii="Times New Roman" w:eastAsia="Times New Roman" w:hAnsi="Times New Roman" w:cs="Times New Roman"/>
          <w:b/>
          <w:sz w:val="24"/>
          <w:szCs w:val="24"/>
        </w:rPr>
        <w:t>Quantitative differences in the effects of self-assessment vs. self-improvement groups below aspirations on organizational responses</w:t>
      </w:r>
    </w:p>
    <w:p w14:paraId="29BE1703" w14:textId="77777777" w:rsidR="00750C42" w:rsidRDefault="00750C42">
      <w:pPr>
        <w:spacing w:line="480" w:lineRule="auto"/>
        <w:ind w:righ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As discussed above, both the self-assessment and the self-improvement groups are associated with an increase in organizational responses when the focal firm performs below aspirations. We will now discuss to what extent those increases are quantitatively </w:t>
      </w:r>
      <w:r>
        <w:rPr>
          <w:rFonts w:ascii="Times New Roman" w:eastAsia="Times New Roman" w:hAnsi="Times New Roman" w:cs="Times New Roman"/>
          <w:sz w:val="24"/>
          <w:szCs w:val="24"/>
        </w:rPr>
        <w:lastRenderedPageBreak/>
        <w:t xml:space="preserve">different. Since most focal firms may aspire to match or exceed the performance of their self-improvement groups but do not directly compete with its members, this reference group is less consequential and less meaningful to the focal firm. </w:t>
      </w:r>
    </w:p>
    <w:p w14:paraId="7C85974B" w14:textId="339F4B0B" w:rsidR="00750C42" w:rsidRDefault="00750C42">
      <w:pPr>
        <w:spacing w:line="480" w:lineRule="auto"/>
        <w:ind w:firstLine="720"/>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Comparison with highly ambitious reference groups will create a large attainment discrepancy, not only for the focal firm but for most firms in their industry. Many firms compare themselves to the few leaders in the industry and, thus, will experience negative feedback </w:t>
      </w:r>
      <w:r>
        <w:rPr>
          <w:rFonts w:ascii="Times New Roman" w:eastAsia="Times New Roman" w:hAnsi="Times New Roman" w:cs="Times New Roman"/>
          <w:noProof/>
          <w:sz w:val="24"/>
          <w:szCs w:val="24"/>
          <w:highlight w:val="white"/>
        </w:rPr>
        <w:t>(Goyal and Goyal, 2021)</w:t>
      </w:r>
      <w:r>
        <w:rPr>
          <w:rFonts w:ascii="Times New Roman" w:eastAsia="Times New Roman" w:hAnsi="Times New Roman" w:cs="Times New Roman"/>
          <w:sz w:val="24"/>
          <w:szCs w:val="24"/>
          <w:highlight w:val="white"/>
        </w:rPr>
        <w:t xml:space="preserve">. Since this negative feedback is experienced by many firms, it may - on average - trigger less urgency to act and, thus, lead to a decrease in organizational response. Some organizations, performing far below the best firms in their industry, may also disengage from </w:t>
      </w:r>
      <w:r w:rsidR="003D32EC">
        <w:rPr>
          <w:rFonts w:ascii="Times New Roman" w:eastAsia="Times New Roman" w:hAnsi="Times New Roman" w:cs="Times New Roman"/>
          <w:sz w:val="24"/>
          <w:szCs w:val="24"/>
          <w:highlight w:val="white"/>
        </w:rPr>
        <w:t xml:space="preserve">this ambitious </w:t>
      </w:r>
      <w:r>
        <w:rPr>
          <w:rFonts w:ascii="Times New Roman" w:eastAsia="Times New Roman" w:hAnsi="Times New Roman" w:cs="Times New Roman"/>
          <w:sz w:val="24"/>
          <w:szCs w:val="24"/>
          <w:highlight w:val="white"/>
        </w:rPr>
        <w:t xml:space="preserve">goal (namely to perform at the level of the best) because they become too dissimilar </w:t>
      </w:r>
      <w:r>
        <w:rPr>
          <w:rFonts w:ascii="Times New Roman" w:eastAsia="Times New Roman" w:hAnsi="Times New Roman" w:cs="Times New Roman"/>
          <w:noProof/>
          <w:sz w:val="24"/>
          <w:szCs w:val="24"/>
          <w:highlight w:val="white"/>
        </w:rPr>
        <w:t>(Festinger, 1954)</w:t>
      </w:r>
      <w:r>
        <w:rPr>
          <w:rFonts w:ascii="Times New Roman" w:eastAsia="Times New Roman" w:hAnsi="Times New Roman" w:cs="Times New Roman"/>
          <w:sz w:val="24"/>
          <w:szCs w:val="24"/>
          <w:highlight w:val="white"/>
        </w:rPr>
        <w:t xml:space="preserve">. As a result, the self-improvement group may become less relevant, and a focal firm may therefore respond less strongly to its feedback. </w:t>
      </w:r>
    </w:p>
    <w:p w14:paraId="2C0A03D8" w14:textId="77777777"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Since the competitive context in which the firms in the self-improvement group operate is likely distinct from the focal firm that performs below it, learning from the self-improvement group may not be as easily transferable to the focal firm’s context as is knowledge gained from comparison with the self-assessment group. For instance, the focal firm may not have the resources to implement strategies that are </w:t>
      </w:r>
      <w:proofErr w:type="gramStart"/>
      <w:r>
        <w:rPr>
          <w:rFonts w:ascii="Times New Roman" w:eastAsia="Times New Roman" w:hAnsi="Times New Roman" w:cs="Times New Roman"/>
          <w:sz w:val="24"/>
          <w:szCs w:val="24"/>
        </w:rPr>
        <w:t>similar to</w:t>
      </w:r>
      <w:proofErr w:type="gramEnd"/>
      <w:r>
        <w:rPr>
          <w:rFonts w:ascii="Times New Roman" w:eastAsia="Times New Roman" w:hAnsi="Times New Roman" w:cs="Times New Roman"/>
          <w:sz w:val="24"/>
          <w:szCs w:val="24"/>
        </w:rPr>
        <w:t xml:space="preserve"> the firms in the self-improvement group. Because of its dissimilarity to, and limited interactions with, the self-improvement group, and because of the low potential for directly transferable knowledge, the focal firm may consider the best in industry group as less meaningful than the self-assessment groups with which it shares more similarities. While it may be aspirational and have a normative function as a role model, the focal firm may have fewer reasons to strongly identify with the self-improvement group.  </w:t>
      </w:r>
    </w:p>
    <w:p w14:paraId="17424904" w14:textId="77777777" w:rsidR="00750C42" w:rsidRDefault="00750C42">
      <w:pPr>
        <w:spacing w:line="480" w:lineRule="auto"/>
        <w:ind w:right="720"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As we suggested above, there will be less identification with a self-improvement group than with a self-assessment group, hence less urgency and a less intense organizational response when performance is below the self-improvement group. In contrast, when a focal firm performs below its self-assessment group</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(consisting of similar firms), its competitive position and organizational identity as members of this group are threatened, constellating higher urgency and a more intense organizational response than would performance feedback from the self-improvement group. Thus, we offer</w:t>
      </w:r>
    </w:p>
    <w:p w14:paraId="64F7E63C" w14:textId="77777777" w:rsidR="00750C42" w:rsidRDefault="00750C42">
      <w:pPr>
        <w:spacing w:line="480" w:lineRule="auto"/>
        <w:ind w:left="720" w:right="720"/>
        <w:rPr>
          <w:rFonts w:ascii="Times New Roman" w:eastAsia="Times New Roman" w:hAnsi="Times New Roman" w:cs="Times New Roman"/>
          <w:b/>
          <w:sz w:val="24"/>
          <w:szCs w:val="24"/>
        </w:rPr>
      </w:pPr>
      <w:r>
        <w:rPr>
          <w:rFonts w:ascii="Times New Roman" w:eastAsia="Times New Roman" w:hAnsi="Times New Roman" w:cs="Times New Roman"/>
          <w:b/>
          <w:i/>
          <w:sz w:val="24"/>
          <w:szCs w:val="24"/>
        </w:rPr>
        <w:t>Hypothesis 1c:</w:t>
      </w:r>
      <w:r>
        <w:rPr>
          <w:rFonts w:ascii="Times New Roman" w:eastAsia="Times New Roman" w:hAnsi="Times New Roman" w:cs="Times New Roman"/>
          <w:i/>
          <w:sz w:val="24"/>
          <w:szCs w:val="24"/>
        </w:rPr>
        <w:t xml:space="preserve"> The effect on the organizational response of performance below self-assessment group aspiration is stronger than the effect of performance below self-improvement group aspiration.</w:t>
      </w:r>
    </w:p>
    <w:p w14:paraId="15486617" w14:textId="77777777" w:rsidR="00750C42" w:rsidRDefault="00750C42">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Self-assessment groups and performance above aspirations</w:t>
      </w:r>
    </w:p>
    <w:p w14:paraId="15812F1D" w14:textId="010EC343" w:rsidR="00750C42" w:rsidRDefault="00750C42">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general prediction of the PFT is that organizations respond less to performance exceeding aspirations than to performance below aspirations. This is attributed to satisficing behavior, which suggests that decision-makers perceive gains above the aspiration level as less desirable since further striving is associated with the risk of falling below the aspiration </w:t>
      </w:r>
      <w:r>
        <w:rPr>
          <w:rFonts w:ascii="Times New Roman" w:eastAsia="Times New Roman" w:hAnsi="Times New Roman" w:cs="Times New Roman"/>
          <w:noProof/>
          <w:sz w:val="24"/>
          <w:szCs w:val="24"/>
        </w:rPr>
        <w:t>(Greve, 2003b)</w:t>
      </w:r>
      <w:r>
        <w:rPr>
          <w:rFonts w:ascii="Times New Roman" w:eastAsia="Times New Roman" w:hAnsi="Times New Roman" w:cs="Times New Roman"/>
          <w:sz w:val="24"/>
          <w:szCs w:val="24"/>
          <w:highlight w:val="white"/>
        </w:rPr>
        <w:t xml:space="preserve">. In this context, organizations become risk averse </w:t>
      </w:r>
      <w:r>
        <w:rPr>
          <w:rFonts w:ascii="Times New Roman" w:eastAsia="Times New Roman" w:hAnsi="Times New Roman" w:cs="Times New Roman"/>
          <w:noProof/>
          <w:sz w:val="24"/>
          <w:szCs w:val="24"/>
          <w:highlight w:val="white"/>
        </w:rPr>
        <w:t>(Greve, 2003a)</w:t>
      </w:r>
      <w:r>
        <w:rPr>
          <w:rFonts w:ascii="Times New Roman" w:eastAsia="Times New Roman" w:hAnsi="Times New Roman" w:cs="Times New Roman"/>
          <w:sz w:val="24"/>
          <w:szCs w:val="24"/>
          <w:highlight w:val="white"/>
        </w:rPr>
        <w:t xml:space="preserve">. We argue that the effect of reduced risk-taking above aspirations is particularly strong for aspirations that are derived from comparison with a self-assessment group. One way of explaining this effect is to suggest that when a reference group is highly meaningful to a focal firm (as is the case with the self-assessment group), there is a concomitant need for conformity </w:t>
      </w:r>
      <w:r>
        <w:rPr>
          <w:rFonts w:ascii="Times New Roman" w:eastAsia="Times New Roman" w:hAnsi="Times New Roman" w:cs="Times New Roman"/>
          <w:noProof/>
          <w:sz w:val="24"/>
          <w:szCs w:val="24"/>
          <w:highlight w:val="white"/>
        </w:rPr>
        <w:t>(Porac et al., 1989)</w:t>
      </w:r>
      <w:r>
        <w:rPr>
          <w:rFonts w:ascii="Times New Roman" w:eastAsia="Times New Roman" w:hAnsi="Times New Roman" w:cs="Times New Roman"/>
          <w:sz w:val="24"/>
          <w:szCs w:val="24"/>
          <w:highlight w:val="white"/>
        </w:rPr>
        <w:t xml:space="preserve">. As discussed in our theorizing leading to Hypothesis 1a, since it shares “consensual identity beliefs” with the self-assessment group </w:t>
      </w:r>
      <w:r>
        <w:rPr>
          <w:rFonts w:ascii="Times New Roman" w:eastAsia="Times New Roman" w:hAnsi="Times New Roman" w:cs="Times New Roman"/>
          <w:noProof/>
          <w:sz w:val="24"/>
          <w:szCs w:val="24"/>
          <w:highlight w:val="white"/>
        </w:rPr>
        <w:t>(Porac et al., 1989: 405)</w:t>
      </w:r>
      <w:r>
        <w:rPr>
          <w:rFonts w:ascii="Times New Roman" w:eastAsia="Times New Roman" w:hAnsi="Times New Roman" w:cs="Times New Roman"/>
          <w:sz w:val="24"/>
          <w:szCs w:val="24"/>
          <w:highlight w:val="white"/>
        </w:rPr>
        <w:t xml:space="preserve"> and identifies with this group </w:t>
      </w:r>
      <w:r>
        <w:rPr>
          <w:rFonts w:ascii="Times New Roman" w:eastAsia="Times New Roman" w:hAnsi="Times New Roman" w:cs="Times New Roman"/>
          <w:noProof/>
          <w:sz w:val="24"/>
          <w:szCs w:val="24"/>
          <w:highlight w:val="white"/>
        </w:rPr>
        <w:t xml:space="preserve">(Peteraf and </w:t>
      </w:r>
      <w:r>
        <w:rPr>
          <w:rFonts w:ascii="Times New Roman" w:eastAsia="Times New Roman" w:hAnsi="Times New Roman" w:cs="Times New Roman"/>
          <w:noProof/>
          <w:sz w:val="24"/>
          <w:szCs w:val="24"/>
          <w:highlight w:val="white"/>
        </w:rPr>
        <w:lastRenderedPageBreak/>
        <w:t>Shanley, 1997)</w:t>
      </w:r>
      <w:r>
        <w:rPr>
          <w:rFonts w:ascii="Times New Roman" w:eastAsia="Times New Roman" w:hAnsi="Times New Roman" w:cs="Times New Roman"/>
          <w:sz w:val="24"/>
          <w:szCs w:val="24"/>
          <w:highlight w:val="white"/>
        </w:rPr>
        <w:t xml:space="preserve">, firms that perform above their self-assessment group do not experience urgency to perform any higher. The focal firm is likely not willing to face the potential threat of falling below aspirations in the future by taking increased risk, rendering increased risk taking an unappealing behavioral option. Staying within their comparable group that they identify and compete with </w:t>
      </w:r>
      <w:r>
        <w:rPr>
          <w:rFonts w:ascii="Times New Roman" w:eastAsia="Times New Roman" w:hAnsi="Times New Roman" w:cs="Times New Roman"/>
          <w:sz w:val="24"/>
          <w:szCs w:val="24"/>
        </w:rPr>
        <w:t xml:space="preserve">is a compelling force. Given the ease of transferability of knowledge between the focal firm and the firms in the self-assessment group, the potential for learning from the self-assessment group remains relatively high. </w:t>
      </w:r>
      <w:r>
        <w:rPr>
          <w:rFonts w:ascii="Times New Roman" w:eastAsia="Times New Roman" w:hAnsi="Times New Roman" w:cs="Times New Roman"/>
          <w:sz w:val="24"/>
          <w:szCs w:val="24"/>
          <w:highlight w:val="white"/>
        </w:rPr>
        <w:t xml:space="preserve">The risk aversion predicted by the PFT for performance above aspirations should thus be heightened for responses to the self-assessment group and, as a result, focal firms </w:t>
      </w:r>
      <w:r>
        <w:rPr>
          <w:rFonts w:ascii="Times New Roman" w:eastAsia="Times New Roman" w:hAnsi="Times New Roman" w:cs="Times New Roman"/>
          <w:sz w:val="24"/>
          <w:szCs w:val="24"/>
        </w:rPr>
        <w:t>outperforming their self-assessment group should have a lower response level to this performance feedback. Thus, we propose</w:t>
      </w:r>
    </w:p>
    <w:p w14:paraId="17F92C33" w14:textId="77777777" w:rsidR="00750C42" w:rsidRDefault="00750C42">
      <w:pPr>
        <w:spacing w:line="480" w:lineRule="auto"/>
        <w:ind w:left="720" w:right="720"/>
        <w:rPr>
          <w:rFonts w:ascii="Times New Roman" w:eastAsia="Times New Roman" w:hAnsi="Times New Roman" w:cs="Times New Roman"/>
          <w:b/>
          <w:sz w:val="24"/>
          <w:szCs w:val="24"/>
        </w:rPr>
      </w:pPr>
      <w:r>
        <w:rPr>
          <w:rFonts w:ascii="Times New Roman" w:eastAsia="Times New Roman" w:hAnsi="Times New Roman" w:cs="Times New Roman"/>
          <w:b/>
          <w:i/>
          <w:sz w:val="24"/>
          <w:szCs w:val="24"/>
        </w:rPr>
        <w:t>Hypothesis 2a:</w:t>
      </w:r>
      <w:r>
        <w:rPr>
          <w:rFonts w:ascii="Times New Roman" w:eastAsia="Times New Roman" w:hAnsi="Times New Roman" w:cs="Times New Roman"/>
          <w:i/>
          <w:sz w:val="24"/>
          <w:szCs w:val="24"/>
        </w:rPr>
        <w:t xml:space="preserve"> As performance increases further above self-assessment group aspiration, the organizational response decreases.</w:t>
      </w:r>
    </w:p>
    <w:p w14:paraId="4D217100" w14:textId="77777777" w:rsidR="00750C42" w:rsidRDefault="0057399D">
      <w:pPr>
        <w:spacing w:line="480" w:lineRule="auto"/>
        <w:rPr>
          <w:rFonts w:ascii="Times New Roman" w:eastAsia="Times New Roman" w:hAnsi="Times New Roman" w:cs="Times New Roman"/>
          <w:sz w:val="24"/>
          <w:szCs w:val="24"/>
        </w:rPr>
      </w:pPr>
      <w:sdt>
        <w:sdtPr>
          <w:tag w:val="goog_rdk_4"/>
          <w:id w:val="-566041951"/>
        </w:sdtPr>
        <w:sdtEndPr/>
        <w:sdtContent/>
      </w:sdt>
      <w:r w:rsidR="00750C42">
        <w:rPr>
          <w:rFonts w:ascii="Times New Roman" w:eastAsia="Times New Roman" w:hAnsi="Times New Roman" w:cs="Times New Roman"/>
          <w:b/>
          <w:sz w:val="24"/>
          <w:szCs w:val="24"/>
        </w:rPr>
        <w:t>Self-improvement groups and performance above aspirations</w:t>
      </w:r>
    </w:p>
    <w:p w14:paraId="16F8E9FD" w14:textId="77777777"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Key to the self-improvement motive is to obtain informational cues to improve through learning. While there are certainly some opportunities for learning from an outperformed group </w:t>
      </w:r>
      <w:r>
        <w:rPr>
          <w:rFonts w:ascii="Times New Roman" w:eastAsia="Times New Roman" w:hAnsi="Times New Roman" w:cs="Times New Roman"/>
          <w:noProof/>
          <w:sz w:val="24"/>
          <w:szCs w:val="24"/>
        </w:rPr>
        <w:t>(Kc et al., 2013)</w:t>
      </w:r>
      <w:r>
        <w:rPr>
          <w:rFonts w:ascii="Times New Roman" w:eastAsia="Times New Roman" w:hAnsi="Times New Roman" w:cs="Times New Roman"/>
          <w:sz w:val="24"/>
          <w:szCs w:val="24"/>
        </w:rPr>
        <w:t xml:space="preserve">, most learning from the self-improvement group would be limited as it relies on the competition’s status quo </w:t>
      </w:r>
      <w:r>
        <w:rPr>
          <w:rFonts w:ascii="Times New Roman" w:eastAsia="Times New Roman" w:hAnsi="Times New Roman" w:cs="Times New Roman"/>
          <w:noProof/>
          <w:sz w:val="24"/>
          <w:szCs w:val="24"/>
        </w:rPr>
        <w:t>(Lieberman and Asaba, 2006)</w:t>
      </w:r>
      <w:r>
        <w:rPr>
          <w:rFonts w:ascii="Times New Roman" w:eastAsia="Times New Roman" w:hAnsi="Times New Roman" w:cs="Times New Roman"/>
          <w:sz w:val="24"/>
          <w:szCs w:val="24"/>
        </w:rPr>
        <w:t xml:space="preserve">. Thus, the “desire for feedback with self-improvement potential” </w:t>
      </w:r>
      <w:r>
        <w:rPr>
          <w:rFonts w:ascii="Times New Roman" w:eastAsia="Times New Roman" w:hAnsi="Times New Roman" w:cs="Times New Roman"/>
          <w:noProof/>
          <w:sz w:val="24"/>
          <w:szCs w:val="24"/>
        </w:rPr>
        <w:t>(Sedikides and Hepper, 2009: 900)</w:t>
      </w:r>
      <w:r>
        <w:rPr>
          <w:rFonts w:ascii="Times New Roman" w:eastAsia="Times New Roman" w:hAnsi="Times New Roman" w:cs="Times New Roman"/>
          <w:sz w:val="24"/>
          <w:szCs w:val="24"/>
        </w:rPr>
        <w:t xml:space="preserve"> cannot be sufficiently satisfied once organizations outperform their reference group because the outperformed reference group provides fewer cues for learning. </w:t>
      </w:r>
    </w:p>
    <w:p w14:paraId="66355258" w14:textId="7586AD3E"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self-improvement motive has further been described as an approach motive </w:t>
      </w:r>
      <w:r>
        <w:rPr>
          <w:rFonts w:ascii="Times New Roman" w:eastAsia="Times New Roman" w:hAnsi="Times New Roman" w:cs="Times New Roman"/>
          <w:noProof/>
          <w:sz w:val="24"/>
          <w:szCs w:val="24"/>
        </w:rPr>
        <w:t>(Elliot and Mapes, 2005)</w:t>
      </w:r>
      <w:r>
        <w:rPr>
          <w:rFonts w:ascii="Times New Roman" w:eastAsia="Times New Roman" w:hAnsi="Times New Roman" w:cs="Times New Roman"/>
          <w:sz w:val="24"/>
          <w:szCs w:val="24"/>
        </w:rPr>
        <w:t xml:space="preserve">. That means that this motive entails proclivity for action rather than action avoidance. This proclivity for action is further boosted by the confidence that organizational </w:t>
      </w:r>
      <w:r>
        <w:rPr>
          <w:rFonts w:ascii="Times New Roman" w:eastAsia="Times New Roman" w:hAnsi="Times New Roman" w:cs="Times New Roman"/>
          <w:sz w:val="24"/>
          <w:szCs w:val="24"/>
        </w:rPr>
        <w:lastRenderedPageBreak/>
        <w:t xml:space="preserve">decision-makers gain from outperforming the group of the best firms in their industry. As a result, firms are willing to engage in a high level of risk-taking to maintain their high performance and the attendant prestige </w:t>
      </w:r>
      <w:r>
        <w:rPr>
          <w:rFonts w:ascii="Times New Roman" w:eastAsia="Times New Roman" w:hAnsi="Times New Roman" w:cs="Times New Roman"/>
          <w:noProof/>
          <w:sz w:val="24"/>
          <w:szCs w:val="24"/>
        </w:rPr>
        <w:t>(Krishnan and Kozhikode, 2015, Mishina et al., 2010)</w:t>
      </w:r>
      <w:r>
        <w:rPr>
          <w:rFonts w:ascii="Times New Roman" w:eastAsia="Times New Roman" w:hAnsi="Times New Roman" w:cs="Times New Roman"/>
          <w:sz w:val="24"/>
          <w:szCs w:val="24"/>
        </w:rPr>
        <w:t xml:space="preserve">. Firms will consider novel paths </w:t>
      </w:r>
      <w:r>
        <w:rPr>
          <w:rFonts w:ascii="Times New Roman" w:eastAsia="Times New Roman" w:hAnsi="Times New Roman" w:cs="Times New Roman"/>
          <w:noProof/>
          <w:sz w:val="24"/>
          <w:szCs w:val="24"/>
        </w:rPr>
        <w:t>(Sitkin et al., 2011)</w:t>
      </w:r>
      <w:r>
        <w:rPr>
          <w:rFonts w:ascii="Times New Roman" w:eastAsia="Times New Roman" w:hAnsi="Times New Roman" w:cs="Times New Roman"/>
          <w:sz w:val="24"/>
          <w:szCs w:val="24"/>
        </w:rPr>
        <w:t xml:space="preserve"> and engage in a search for superior information cues outside of their recently outperformed reference group. Firms likely find such superior information cues in a high performing reference firm or group outside their industry group </w:t>
      </w:r>
      <w:r>
        <w:rPr>
          <w:rFonts w:ascii="Times New Roman" w:eastAsia="Times New Roman" w:hAnsi="Times New Roman" w:cs="Times New Roman"/>
          <w:noProof/>
          <w:sz w:val="24"/>
          <w:szCs w:val="24"/>
        </w:rPr>
        <w:t>(Pryor, 1989)</w:t>
      </w:r>
      <w:r>
        <w:rPr>
          <w:rFonts w:ascii="Times New Roman" w:eastAsia="Times New Roman" w:hAnsi="Times New Roman" w:cs="Times New Roman"/>
          <w:sz w:val="24"/>
          <w:szCs w:val="24"/>
        </w:rPr>
        <w:t xml:space="preserve">. We observe this behavior when firms engage in cross-industry benchmarks. For instance, Axel Springer had higher revenues from digital media than other newspaper/magazine publishing firms in Europe and therefore could learn little about digital innovation from the best performers in its industry. Driven by self-improvement, its CEO, Mathias </w:t>
      </w:r>
      <w:proofErr w:type="spellStart"/>
      <w:r>
        <w:rPr>
          <w:rFonts w:ascii="Times New Roman" w:eastAsia="Times New Roman" w:hAnsi="Times New Roman" w:cs="Times New Roman"/>
          <w:sz w:val="24"/>
          <w:szCs w:val="24"/>
        </w:rPr>
        <w:t>Doepfner</w:t>
      </w:r>
      <w:proofErr w:type="spellEnd"/>
      <w:r>
        <w:rPr>
          <w:rFonts w:ascii="Times New Roman" w:eastAsia="Times New Roman" w:hAnsi="Times New Roman" w:cs="Times New Roman"/>
          <w:sz w:val="24"/>
          <w:szCs w:val="24"/>
        </w:rPr>
        <w:t xml:space="preserve"> spent time in Silicon Valley to learn about digital innovation from </w:t>
      </w:r>
      <w:r w:rsidR="006F14C1">
        <w:rPr>
          <w:rFonts w:ascii="Times New Roman" w:eastAsia="Times New Roman" w:hAnsi="Times New Roman" w:cs="Times New Roman"/>
          <w:sz w:val="24"/>
          <w:szCs w:val="24"/>
        </w:rPr>
        <w:t>Facebook</w:t>
      </w:r>
      <w:r>
        <w:rPr>
          <w:rFonts w:ascii="Times New Roman" w:eastAsia="Times New Roman" w:hAnsi="Times New Roman" w:cs="Times New Roman"/>
          <w:sz w:val="24"/>
          <w:szCs w:val="24"/>
        </w:rPr>
        <w:t xml:space="preserve">, </w:t>
      </w:r>
      <w:r w:rsidR="006F14C1">
        <w:rPr>
          <w:rFonts w:ascii="Times New Roman" w:eastAsia="Times New Roman" w:hAnsi="Times New Roman" w:cs="Times New Roman"/>
          <w:sz w:val="24"/>
          <w:szCs w:val="24"/>
        </w:rPr>
        <w:t>Google</w:t>
      </w:r>
      <w:r>
        <w:rPr>
          <w:rFonts w:ascii="Times New Roman" w:eastAsia="Times New Roman" w:hAnsi="Times New Roman" w:cs="Times New Roman"/>
          <w:sz w:val="24"/>
          <w:szCs w:val="24"/>
        </w:rPr>
        <w:t>, and other digital giants. By doing this, Axel Springer further expanded its leadership position and transformed the newspaper/magazine publishing industry. Contrary to the basic assumptions of the PFT, this hypothesis predicts an increase in organizational response as performance increases above aspirations. We propose</w:t>
      </w:r>
    </w:p>
    <w:p w14:paraId="26A4E618" w14:textId="77777777" w:rsidR="00750C42" w:rsidRDefault="00750C42">
      <w:pPr>
        <w:spacing w:line="480" w:lineRule="auto"/>
        <w:ind w:left="720" w:right="720"/>
        <w:rPr>
          <w:rFonts w:ascii="Times New Roman" w:eastAsia="Times New Roman" w:hAnsi="Times New Roman" w:cs="Times New Roman"/>
          <w:i/>
          <w:sz w:val="24"/>
          <w:szCs w:val="24"/>
        </w:rPr>
      </w:pPr>
      <w:r>
        <w:rPr>
          <w:rFonts w:ascii="Times New Roman" w:eastAsia="Times New Roman" w:hAnsi="Times New Roman" w:cs="Times New Roman"/>
          <w:b/>
          <w:i/>
          <w:sz w:val="24"/>
          <w:szCs w:val="24"/>
        </w:rPr>
        <w:t>Hypothesis 2b:</w:t>
      </w:r>
      <w:r>
        <w:rPr>
          <w:rFonts w:ascii="Times New Roman" w:eastAsia="Times New Roman" w:hAnsi="Times New Roman" w:cs="Times New Roman"/>
          <w:i/>
          <w:sz w:val="24"/>
          <w:szCs w:val="24"/>
        </w:rPr>
        <w:t xml:space="preserve"> As performance increases further above self-improvement group aspiration, the organizational response increases.</w:t>
      </w:r>
    </w:p>
    <w:p w14:paraId="1F1BDE51" w14:textId="77777777" w:rsidR="00750C42" w:rsidRDefault="00750C42">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METHODS</w:t>
      </w:r>
    </w:p>
    <w:p w14:paraId="0B2C9ABA" w14:textId="77777777" w:rsidR="00750C42" w:rsidRDefault="00750C42">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meta-analytic approach is well suited for our examination of the effects of different social reference groups and motivations on organizational responses to performance feedback. It allows us to draw on all currently available evidence in the PFT literature and enables us to undertake a systematic evaluation and comparison of the effects of performance feedback across different motive-based reference group aspirations. This would not be possible to achieve through a single </w:t>
      </w:r>
      <w:r>
        <w:rPr>
          <w:rFonts w:ascii="Times New Roman" w:eastAsia="Times New Roman" w:hAnsi="Times New Roman" w:cs="Times New Roman"/>
          <w:sz w:val="24"/>
          <w:szCs w:val="24"/>
        </w:rPr>
        <w:lastRenderedPageBreak/>
        <w:t xml:space="preserve">empirical study </w:t>
      </w:r>
      <w:r>
        <w:rPr>
          <w:rFonts w:ascii="Times New Roman" w:eastAsia="Times New Roman" w:hAnsi="Times New Roman" w:cs="Times New Roman"/>
          <w:noProof/>
          <w:sz w:val="24"/>
          <w:szCs w:val="24"/>
        </w:rPr>
        <w:t>(Aguinis et al., 2011, Eden, 2002)</w:t>
      </w:r>
      <w:r>
        <w:rPr>
          <w:rFonts w:ascii="Times New Roman" w:eastAsia="Times New Roman" w:hAnsi="Times New Roman" w:cs="Times New Roman"/>
          <w:sz w:val="24"/>
          <w:szCs w:val="24"/>
        </w:rPr>
        <w:t xml:space="preserve">. Our study design is informed by the most current meta-analysis studies within the PFT and strategic management discourses </w:t>
      </w:r>
      <w:r>
        <w:rPr>
          <w:rFonts w:ascii="Times New Roman" w:eastAsia="Times New Roman" w:hAnsi="Times New Roman" w:cs="Times New Roman"/>
          <w:noProof/>
          <w:sz w:val="24"/>
          <w:szCs w:val="24"/>
        </w:rPr>
        <w:t>(Herhausen et al., 2020, Kolev, 2016, Kotiloglu et al., 2021, Verver et al., 2018)</w:t>
      </w:r>
      <w:r>
        <w:rPr>
          <w:rFonts w:ascii="Times New Roman" w:eastAsia="Times New Roman" w:hAnsi="Times New Roman" w:cs="Times New Roman"/>
          <w:sz w:val="24"/>
          <w:szCs w:val="24"/>
        </w:rPr>
        <w:t>.</w:t>
      </w:r>
    </w:p>
    <w:p w14:paraId="4938881E" w14:textId="77777777" w:rsidR="00750C42" w:rsidRDefault="00750C42">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Sample</w:t>
      </w:r>
    </w:p>
    <w:p w14:paraId="18CAC9BB" w14:textId="48FF62FA" w:rsidR="00750C42" w:rsidRDefault="00750C42" w:rsidP="0057655F">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To identify and select appropriate studies for inclusion in our analysis, we searched for studies that analyze the </w:t>
      </w:r>
      <w:r>
        <w:rPr>
          <w:rFonts w:ascii="Times New Roman" w:eastAsia="Times New Roman" w:hAnsi="Times New Roman" w:cs="Times New Roman"/>
          <w:b/>
          <w:sz w:val="24"/>
          <w:szCs w:val="24"/>
        </w:rPr>
        <w:t>effects of performance feedback at the organizational level</w:t>
      </w:r>
      <w:r>
        <w:rPr>
          <w:rFonts w:ascii="Times New Roman" w:eastAsia="Times New Roman" w:hAnsi="Times New Roman" w:cs="Times New Roman"/>
          <w:sz w:val="24"/>
          <w:szCs w:val="24"/>
        </w:rPr>
        <w:t xml:space="preserve">. Our sample selection criteria and process are summarized at Table 1. Our final sample included 99 empirical studies, yielding 146 effect sizes and 1,799,338 firm-year observations. Following </w:t>
      </w:r>
      <w:r>
        <w:rPr>
          <w:rFonts w:ascii="Times New Roman" w:eastAsia="Times New Roman" w:hAnsi="Times New Roman" w:cs="Times New Roman"/>
          <w:noProof/>
          <w:sz w:val="24"/>
          <w:szCs w:val="24"/>
        </w:rPr>
        <w:t>Aguinis et al. (2018)</w:t>
      </w:r>
      <w:r>
        <w:rPr>
          <w:rFonts w:ascii="Times New Roman" w:eastAsia="Times New Roman" w:hAnsi="Times New Roman" w:cs="Times New Roman"/>
          <w:sz w:val="24"/>
          <w:szCs w:val="24"/>
        </w:rPr>
        <w:t xml:space="preserve"> and </w:t>
      </w:r>
      <w:r w:rsidRPr="00186E88">
        <w:rPr>
          <w:rFonts w:ascii="Times New Roman" w:eastAsia="Times New Roman" w:hAnsi="Times New Roman" w:cs="Times New Roman"/>
          <w:noProof/>
          <w:sz w:val="24"/>
          <w:szCs w:val="24"/>
        </w:rPr>
        <w:t>Combs et al. (2018)</w:t>
      </w:r>
      <w:r w:rsidRPr="00186E8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we report sample size, selection and operationalization of social reference groups, and sample characteristics for each </w:t>
      </w:r>
      <w:r w:rsidRPr="008B272B">
        <w:rPr>
          <w:rFonts w:ascii="Times New Roman" w:eastAsia="Times New Roman" w:hAnsi="Times New Roman" w:cs="Times New Roman"/>
          <w:sz w:val="24"/>
          <w:szCs w:val="24"/>
        </w:rPr>
        <w:t>study in Appendix A1, along with</w:t>
      </w:r>
      <w:r>
        <w:rPr>
          <w:rFonts w:ascii="Times New Roman" w:eastAsia="Times New Roman" w:hAnsi="Times New Roman" w:cs="Times New Roman"/>
          <w:sz w:val="24"/>
          <w:szCs w:val="24"/>
        </w:rPr>
        <w:t xml:space="preserve"> the bibliographic details of studies included in our meta-analysis.</w:t>
      </w:r>
    </w:p>
    <w:p w14:paraId="61BAA549" w14:textId="77777777" w:rsidR="00EC7E61" w:rsidRDefault="00EC7E61" w:rsidP="00EC7E61">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TABLE 1.</w:t>
      </w:r>
    </w:p>
    <w:p w14:paraId="5063DD86" w14:textId="77777777" w:rsidR="00EC7E61" w:rsidRDefault="00EC7E61" w:rsidP="00EC7E61">
      <w:pPr>
        <w:spacing w:line="240" w:lineRule="auto"/>
        <w:jc w:val="center"/>
        <w:rPr>
          <w:rFonts w:ascii="Times New Roman" w:eastAsia="Times New Roman" w:hAnsi="Times New Roman" w:cs="Times New Roman"/>
          <w:b/>
          <w:sz w:val="24"/>
          <w:szCs w:val="24"/>
        </w:rPr>
      </w:pPr>
    </w:p>
    <w:p w14:paraId="22364F20" w14:textId="77777777" w:rsidR="00EC7E61" w:rsidRDefault="00EC7E61" w:rsidP="00EC7E61">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Sample Selection and Criteria</w:t>
      </w:r>
    </w:p>
    <w:p w14:paraId="18863241" w14:textId="77777777" w:rsidR="00EC7E61" w:rsidRDefault="00EC7E61" w:rsidP="00EC7E61">
      <w:pPr>
        <w:spacing w:line="240" w:lineRule="auto"/>
        <w:jc w:val="center"/>
        <w:rPr>
          <w:rFonts w:ascii="Times New Roman" w:eastAsia="Times New Roman" w:hAnsi="Times New Roman" w:cs="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755"/>
        <w:gridCol w:w="3385"/>
        <w:gridCol w:w="1145"/>
        <w:gridCol w:w="3065"/>
      </w:tblGrid>
      <w:tr w:rsidR="00EC7E61" w14:paraId="45225EC7" w14:textId="77777777" w:rsidTr="0057655F">
        <w:tc>
          <w:tcPr>
            <w:tcW w:w="0" w:type="auto"/>
          </w:tcPr>
          <w:p w14:paraId="6F42A0DB" w14:textId="77777777" w:rsidR="00EC7E61" w:rsidRDefault="00EC7E61" w:rsidP="0057655F">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Step</w:t>
            </w:r>
          </w:p>
        </w:tc>
        <w:tc>
          <w:tcPr>
            <w:tcW w:w="0" w:type="auto"/>
          </w:tcPr>
          <w:p w14:paraId="6A21E911" w14:textId="77777777" w:rsidR="00EC7E61" w:rsidRDefault="00EC7E61" w:rsidP="0057655F">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Procedure</w:t>
            </w:r>
          </w:p>
        </w:tc>
        <w:tc>
          <w:tcPr>
            <w:tcW w:w="0" w:type="auto"/>
          </w:tcPr>
          <w:p w14:paraId="31F72697" w14:textId="77777777" w:rsidR="00EC7E61" w:rsidRDefault="00EC7E61" w:rsidP="0057655F">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Number of studies</w:t>
            </w:r>
          </w:p>
        </w:tc>
        <w:tc>
          <w:tcPr>
            <w:tcW w:w="0" w:type="auto"/>
          </w:tcPr>
          <w:p w14:paraId="71903A88" w14:textId="77777777" w:rsidR="00EC7E61" w:rsidRDefault="00EC7E61" w:rsidP="0057655F">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Notes</w:t>
            </w:r>
          </w:p>
        </w:tc>
      </w:tr>
      <w:tr w:rsidR="00EC7E61" w14:paraId="697FC4BB" w14:textId="77777777" w:rsidTr="0057655F">
        <w:tc>
          <w:tcPr>
            <w:tcW w:w="0" w:type="auto"/>
          </w:tcPr>
          <w:p w14:paraId="529ADD5F"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1: Initial literature search</w:t>
            </w:r>
          </w:p>
        </w:tc>
        <w:tc>
          <w:tcPr>
            <w:tcW w:w="0" w:type="auto"/>
          </w:tcPr>
          <w:p w14:paraId="1A2B60A1"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Using the following keywords for our searches of all journals included in the ABI/INFORMS and Web of Science databases: behavioral theory of the firm, performance feedback, attainment discrepancy, organizational decision-making, aspirations, reference groups, </w:t>
            </w:r>
            <w:proofErr w:type="spellStart"/>
            <w:r>
              <w:rPr>
                <w:rFonts w:ascii="Times New Roman" w:eastAsia="Times New Roman" w:hAnsi="Times New Roman" w:cs="Times New Roman"/>
                <w:sz w:val="24"/>
                <w:szCs w:val="24"/>
              </w:rPr>
              <w:t>problemistic</w:t>
            </w:r>
            <w:proofErr w:type="spellEnd"/>
            <w:r>
              <w:rPr>
                <w:rFonts w:ascii="Times New Roman" w:eastAsia="Times New Roman" w:hAnsi="Times New Roman" w:cs="Times New Roman"/>
                <w:sz w:val="24"/>
                <w:szCs w:val="24"/>
              </w:rPr>
              <w:t xml:space="preserve"> search, slack search, inertia, organizational change, and risk taking, as well as combinations of these terms. </w:t>
            </w:r>
          </w:p>
        </w:tc>
        <w:tc>
          <w:tcPr>
            <w:tcW w:w="0" w:type="auto"/>
          </w:tcPr>
          <w:p w14:paraId="0D26AF2C"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173 new studies, added</w:t>
            </w:r>
          </w:p>
        </w:tc>
        <w:tc>
          <w:tcPr>
            <w:tcW w:w="0" w:type="auto"/>
          </w:tcPr>
          <w:p w14:paraId="201AE4AE"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The resulting studies were published between 1987 and 2021. While we did not expect to find any studies on organizational performance feedback theory before the publication of A Behavioral Theory of the Firm (</w:t>
            </w:r>
            <w:proofErr w:type="spellStart"/>
            <w:r>
              <w:rPr>
                <w:rFonts w:ascii="Times New Roman" w:eastAsia="Times New Roman" w:hAnsi="Times New Roman" w:cs="Times New Roman"/>
                <w:sz w:val="24"/>
                <w:szCs w:val="24"/>
              </w:rPr>
              <w:t>Cyert</w:t>
            </w:r>
            <w:proofErr w:type="spellEnd"/>
            <w:r>
              <w:rPr>
                <w:rFonts w:ascii="Times New Roman" w:eastAsia="Times New Roman" w:hAnsi="Times New Roman" w:cs="Times New Roman"/>
                <w:sz w:val="24"/>
                <w:szCs w:val="24"/>
              </w:rPr>
              <w:t xml:space="preserve"> and </w:t>
            </w:r>
            <w:proofErr w:type="gramStart"/>
            <w:r>
              <w:rPr>
                <w:rFonts w:ascii="Times New Roman" w:eastAsia="Times New Roman" w:hAnsi="Times New Roman" w:cs="Times New Roman"/>
                <w:sz w:val="24"/>
                <w:szCs w:val="24"/>
              </w:rPr>
              <w:t>March,</w:t>
            </w:r>
            <w:proofErr w:type="gramEnd"/>
            <w:r>
              <w:rPr>
                <w:rFonts w:ascii="Times New Roman" w:eastAsia="Times New Roman" w:hAnsi="Times New Roman" w:cs="Times New Roman"/>
                <w:sz w:val="24"/>
                <w:szCs w:val="24"/>
              </w:rPr>
              <w:t xml:space="preserve"> 1963), the start for our analysis,1987, emerged from our search.</w:t>
            </w:r>
          </w:p>
          <w:p w14:paraId="42C3BBCE"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All the studies in our sample reported at least one effect size for performance </w:t>
            </w:r>
            <w:r>
              <w:rPr>
                <w:rFonts w:ascii="Times New Roman" w:eastAsia="Times New Roman" w:hAnsi="Times New Roman" w:cs="Times New Roman"/>
                <w:sz w:val="24"/>
                <w:szCs w:val="24"/>
              </w:rPr>
              <w:lastRenderedPageBreak/>
              <w:t>feedback and organizational responses.</w:t>
            </w:r>
          </w:p>
          <w:p w14:paraId="6A08AA72" w14:textId="77777777" w:rsidR="00EC7E61" w:rsidRDefault="00EC7E61" w:rsidP="0057655F">
            <w:pPr>
              <w:rPr>
                <w:rFonts w:ascii="Times New Roman" w:eastAsia="Times New Roman" w:hAnsi="Times New Roman" w:cs="Times New Roman"/>
                <w:sz w:val="24"/>
                <w:szCs w:val="24"/>
              </w:rPr>
            </w:pPr>
          </w:p>
        </w:tc>
      </w:tr>
      <w:tr w:rsidR="00EC7E61" w14:paraId="1D284FC1" w14:textId="77777777" w:rsidTr="0057655F">
        <w:tc>
          <w:tcPr>
            <w:tcW w:w="0" w:type="auto"/>
          </w:tcPr>
          <w:p w14:paraId="65AB3AA9"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 Backward search</w:t>
            </w:r>
          </w:p>
        </w:tc>
        <w:tc>
          <w:tcPr>
            <w:tcW w:w="0" w:type="auto"/>
          </w:tcPr>
          <w:p w14:paraId="74F6417A"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Through the references of the identified studies</w:t>
            </w:r>
          </w:p>
          <w:p w14:paraId="263AEE97" w14:textId="77777777" w:rsidR="00EC7E61" w:rsidRDefault="00EC7E61" w:rsidP="0057655F">
            <w:pPr>
              <w:rPr>
                <w:rFonts w:ascii="Times New Roman" w:eastAsia="Times New Roman" w:hAnsi="Times New Roman" w:cs="Times New Roman"/>
                <w:sz w:val="24"/>
                <w:szCs w:val="24"/>
              </w:rPr>
            </w:pPr>
          </w:p>
        </w:tc>
        <w:tc>
          <w:tcPr>
            <w:tcW w:w="0" w:type="auto"/>
          </w:tcPr>
          <w:p w14:paraId="3DDFE7B4"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20 new studies, added</w:t>
            </w:r>
          </w:p>
        </w:tc>
        <w:tc>
          <w:tcPr>
            <w:tcW w:w="0" w:type="auto"/>
          </w:tcPr>
          <w:p w14:paraId="51C8BDDB" w14:textId="77777777" w:rsidR="00EC7E61" w:rsidRDefault="00EC7E61" w:rsidP="0057655F">
            <w:pPr>
              <w:rPr>
                <w:rFonts w:ascii="Times New Roman" w:eastAsia="Times New Roman" w:hAnsi="Times New Roman" w:cs="Times New Roman"/>
                <w:sz w:val="24"/>
                <w:szCs w:val="24"/>
              </w:rPr>
            </w:pPr>
          </w:p>
        </w:tc>
      </w:tr>
      <w:tr w:rsidR="00EC7E61" w14:paraId="1B507C81" w14:textId="77777777" w:rsidTr="0057655F">
        <w:tc>
          <w:tcPr>
            <w:tcW w:w="0" w:type="auto"/>
          </w:tcPr>
          <w:p w14:paraId="2E8866BF"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3: Identify unpublished studies</w:t>
            </w:r>
          </w:p>
        </w:tc>
        <w:tc>
          <w:tcPr>
            <w:tcW w:w="0" w:type="auto"/>
          </w:tcPr>
          <w:p w14:paraId="41DA79BD"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Solicited our request of unpublished studies through Academy of Management (</w:t>
            </w:r>
            <w:proofErr w:type="spellStart"/>
            <w:r>
              <w:rPr>
                <w:rFonts w:ascii="Times New Roman" w:eastAsia="Times New Roman" w:hAnsi="Times New Roman" w:cs="Times New Roman"/>
                <w:sz w:val="24"/>
                <w:szCs w:val="24"/>
              </w:rPr>
              <w:t>AoM</w:t>
            </w:r>
            <w:proofErr w:type="spellEnd"/>
            <w:r>
              <w:rPr>
                <w:rFonts w:ascii="Times New Roman" w:eastAsia="Times New Roman" w:hAnsi="Times New Roman" w:cs="Times New Roman"/>
                <w:sz w:val="24"/>
                <w:szCs w:val="24"/>
              </w:rPr>
              <w:t xml:space="preserve">) listservs. We published our request for unpublished studies in several divisions of </w:t>
            </w:r>
            <w:proofErr w:type="spellStart"/>
            <w:r>
              <w:rPr>
                <w:rFonts w:ascii="Times New Roman" w:eastAsia="Times New Roman" w:hAnsi="Times New Roman" w:cs="Times New Roman"/>
                <w:sz w:val="24"/>
                <w:szCs w:val="24"/>
              </w:rPr>
              <w:t>AoM</w:t>
            </w:r>
            <w:proofErr w:type="spellEnd"/>
            <w:r>
              <w:rPr>
                <w:rFonts w:ascii="Times New Roman" w:eastAsia="Times New Roman" w:hAnsi="Times New Roman" w:cs="Times New Roman"/>
                <w:sz w:val="24"/>
                <w:szCs w:val="24"/>
              </w:rPr>
              <w:t>, including Strategic Management, Organization and Management Theory, and Technology and Innovation Management. We also searched for unpublished studies in EBSCO, SSRN, and Google Scholar databases.</w:t>
            </w:r>
          </w:p>
        </w:tc>
        <w:tc>
          <w:tcPr>
            <w:tcW w:w="0" w:type="auto"/>
          </w:tcPr>
          <w:p w14:paraId="757D2505"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5 new studies, added</w:t>
            </w:r>
          </w:p>
        </w:tc>
        <w:tc>
          <w:tcPr>
            <w:tcW w:w="0" w:type="auto"/>
          </w:tcPr>
          <w:p w14:paraId="5D021718"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This step addresses the “file drawer problem” (Rosenthal, 1995).</w:t>
            </w:r>
          </w:p>
          <w:p w14:paraId="343CCB50" w14:textId="77777777" w:rsidR="00EC7E61" w:rsidRDefault="00EC7E61" w:rsidP="0057655F">
            <w:pPr>
              <w:rPr>
                <w:rFonts w:ascii="Times New Roman" w:eastAsia="Times New Roman" w:hAnsi="Times New Roman" w:cs="Times New Roman"/>
                <w:sz w:val="24"/>
                <w:szCs w:val="24"/>
              </w:rPr>
            </w:pPr>
          </w:p>
        </w:tc>
      </w:tr>
      <w:tr w:rsidR="00EC7E61" w14:paraId="4F9E87EC" w14:textId="77777777" w:rsidTr="0057655F">
        <w:tc>
          <w:tcPr>
            <w:tcW w:w="0" w:type="auto"/>
          </w:tcPr>
          <w:p w14:paraId="79C51C6E"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4: Identify if studies included the required statistical information for meta-analysis</w:t>
            </w:r>
          </w:p>
        </w:tc>
        <w:tc>
          <w:tcPr>
            <w:tcW w:w="0" w:type="auto"/>
          </w:tcPr>
          <w:p w14:paraId="19E09150"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Removed studies that did not report all the required information (e.g., sample size, correlations).</w:t>
            </w:r>
          </w:p>
          <w:p w14:paraId="57336C86" w14:textId="77777777" w:rsidR="00EC7E61" w:rsidRDefault="00EC7E61" w:rsidP="0057655F">
            <w:pPr>
              <w:rPr>
                <w:rFonts w:ascii="Times New Roman" w:eastAsia="Times New Roman" w:hAnsi="Times New Roman" w:cs="Times New Roman"/>
                <w:sz w:val="24"/>
                <w:szCs w:val="24"/>
              </w:rPr>
            </w:pPr>
          </w:p>
        </w:tc>
        <w:tc>
          <w:tcPr>
            <w:tcW w:w="0" w:type="auto"/>
          </w:tcPr>
          <w:p w14:paraId="6AD72EF0"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34 studies, removed</w:t>
            </w:r>
          </w:p>
        </w:tc>
        <w:tc>
          <w:tcPr>
            <w:tcW w:w="0" w:type="auto"/>
          </w:tcPr>
          <w:p w14:paraId="5C309A5B" w14:textId="77777777" w:rsidR="00EC7E61" w:rsidRDefault="00EC7E61" w:rsidP="0057655F">
            <w:pPr>
              <w:rPr>
                <w:rFonts w:ascii="Times New Roman" w:eastAsia="Times New Roman" w:hAnsi="Times New Roman" w:cs="Times New Roman"/>
                <w:sz w:val="24"/>
                <w:szCs w:val="24"/>
              </w:rPr>
            </w:pPr>
          </w:p>
        </w:tc>
      </w:tr>
      <w:tr w:rsidR="00EC7E61" w14:paraId="283E926E" w14:textId="77777777" w:rsidTr="0057655F">
        <w:tc>
          <w:tcPr>
            <w:tcW w:w="0" w:type="auto"/>
          </w:tcPr>
          <w:p w14:paraId="0FD15409"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5: Avoid double counting</w:t>
            </w:r>
          </w:p>
        </w:tc>
        <w:tc>
          <w:tcPr>
            <w:tcW w:w="0" w:type="auto"/>
          </w:tcPr>
          <w:p w14:paraId="6C9194F0"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Avoided double counting studies that referred to the same sample. For duplicated studies, we included only the most recently published ones in the final sample.</w:t>
            </w:r>
          </w:p>
        </w:tc>
        <w:tc>
          <w:tcPr>
            <w:tcW w:w="0" w:type="auto"/>
          </w:tcPr>
          <w:p w14:paraId="280BB9D1"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7 studies, removed</w:t>
            </w:r>
          </w:p>
        </w:tc>
        <w:tc>
          <w:tcPr>
            <w:tcW w:w="0" w:type="auto"/>
          </w:tcPr>
          <w:p w14:paraId="64E45FDD" w14:textId="77777777" w:rsidR="00EC7E61" w:rsidRDefault="00EC7E61" w:rsidP="0057655F">
            <w:pPr>
              <w:rPr>
                <w:rFonts w:ascii="Times New Roman" w:eastAsia="Times New Roman" w:hAnsi="Times New Roman" w:cs="Times New Roman"/>
                <w:sz w:val="24"/>
                <w:szCs w:val="24"/>
              </w:rPr>
            </w:pPr>
          </w:p>
        </w:tc>
      </w:tr>
      <w:tr w:rsidR="00EC7E61" w14:paraId="459AB9AF" w14:textId="77777777" w:rsidTr="0057655F">
        <w:tc>
          <w:tcPr>
            <w:tcW w:w="0" w:type="auto"/>
          </w:tcPr>
          <w:p w14:paraId="03844415"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6: Exclude studies that do not report correlations for social aspirations</w:t>
            </w:r>
          </w:p>
        </w:tc>
        <w:tc>
          <w:tcPr>
            <w:tcW w:w="0" w:type="auto"/>
          </w:tcPr>
          <w:p w14:paraId="04347D00"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Since our research question focuses exclusively on social reference groups, we excluded studies using historical or hybrid (i.e., weighted average of historical and social) aspirations in their analyses.</w:t>
            </w:r>
          </w:p>
        </w:tc>
        <w:tc>
          <w:tcPr>
            <w:tcW w:w="0" w:type="auto"/>
          </w:tcPr>
          <w:p w14:paraId="6CAC1248"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58 studies, removed</w:t>
            </w:r>
          </w:p>
        </w:tc>
        <w:tc>
          <w:tcPr>
            <w:tcW w:w="0" w:type="auto"/>
          </w:tcPr>
          <w:p w14:paraId="20465795" w14:textId="77777777" w:rsidR="00EC7E61" w:rsidRDefault="00EC7E61" w:rsidP="005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If a study reported effects of historical and social aspirations, it is included in our final sample, but only relationships for social aspirations are taken into consideration. If a study only </w:t>
            </w:r>
            <w:r>
              <w:rPr>
                <w:rFonts w:ascii="Times New Roman" w:eastAsia="Times New Roman" w:hAnsi="Times New Roman" w:cs="Times New Roman"/>
                <w:sz w:val="24"/>
                <w:szCs w:val="24"/>
              </w:rPr>
              <w:lastRenderedPageBreak/>
              <w:t>reported results for historical and/or hybrid aspirations, the study is removed from our final sample.</w:t>
            </w:r>
          </w:p>
        </w:tc>
      </w:tr>
    </w:tbl>
    <w:p w14:paraId="5BD23E26" w14:textId="77777777" w:rsidR="00EC7E61" w:rsidRDefault="00EC7E61" w:rsidP="00EC7E61">
      <w:pPr>
        <w:spacing w:line="240" w:lineRule="auto"/>
        <w:rPr>
          <w:rFonts w:ascii="Times New Roman" w:eastAsia="Times New Roman" w:hAnsi="Times New Roman" w:cs="Times New Roman"/>
        </w:rPr>
      </w:pPr>
      <w:r>
        <w:rPr>
          <w:rFonts w:ascii="Times New Roman" w:eastAsia="Times New Roman" w:hAnsi="Times New Roman" w:cs="Times New Roman"/>
        </w:rPr>
        <w:lastRenderedPageBreak/>
        <w:t>N = 99 studies</w:t>
      </w:r>
    </w:p>
    <w:p w14:paraId="36A9D4D0" w14:textId="63AF3494" w:rsidR="00750C42" w:rsidRDefault="00EC7E61" w:rsidP="009C6479">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r>
      <w:r w:rsidR="00750C42">
        <w:rPr>
          <w:rFonts w:ascii="Times New Roman" w:eastAsia="Times New Roman" w:hAnsi="Times New Roman" w:cs="Times New Roman"/>
          <w:b/>
          <w:sz w:val="24"/>
          <w:szCs w:val="24"/>
        </w:rPr>
        <w:t>Coding</w:t>
      </w:r>
    </w:p>
    <w:p w14:paraId="2C560D26" w14:textId="77777777" w:rsidR="00750C42" w:rsidRPr="00A868A8" w:rsidRDefault="00750C42">
      <w:pPr>
        <w:spacing w:line="480" w:lineRule="auto"/>
        <w:rPr>
          <w:rFonts w:ascii="Times New Roman" w:eastAsia="Times New Roman" w:hAnsi="Times New Roman" w:cs="Times New Roman"/>
          <w:b/>
          <w:iCs/>
          <w:sz w:val="24"/>
          <w:szCs w:val="24"/>
        </w:rPr>
      </w:pPr>
      <w:r w:rsidRPr="00A868A8">
        <w:rPr>
          <w:rFonts w:ascii="Times New Roman" w:eastAsia="Times New Roman" w:hAnsi="Times New Roman" w:cs="Times New Roman"/>
          <w:b/>
          <w:iCs/>
          <w:sz w:val="24"/>
          <w:szCs w:val="24"/>
        </w:rPr>
        <w:t>Performance above and below aspirations</w:t>
      </w:r>
    </w:p>
    <w:p w14:paraId="7C433F9F" w14:textId="055C8123" w:rsidR="00750C42" w:rsidRDefault="00750C42">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Our hypotheses differentiate between the effects of performance above and below aspirations</w:t>
      </w:r>
      <w:r w:rsidR="00591126">
        <w:rPr>
          <w:rFonts w:ascii="Times New Roman" w:eastAsia="Times New Roman" w:hAnsi="Times New Roman" w:cs="Times New Roman"/>
          <w:sz w:val="24"/>
          <w:szCs w:val="24"/>
        </w:rPr>
        <w:t>. For each study in our sample, we</w:t>
      </w:r>
      <w:r>
        <w:rPr>
          <w:rFonts w:ascii="Times New Roman" w:eastAsia="Times New Roman" w:hAnsi="Times New Roman" w:cs="Times New Roman"/>
          <w:sz w:val="24"/>
          <w:szCs w:val="24"/>
        </w:rPr>
        <w:t xml:space="preserve"> labeled a relationship as performance below aspirations when there was a negative gap between performance and aspirations. We labeled a relationship as performance above aspirations</w:t>
      </w:r>
      <w:r w:rsidR="006B598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when there was a positive gap between performance and aspirations.</w:t>
      </w:r>
    </w:p>
    <w:p w14:paraId="3AECA847" w14:textId="77777777" w:rsidR="00750C42" w:rsidRPr="00A868A8" w:rsidRDefault="00750C42">
      <w:pPr>
        <w:spacing w:line="480" w:lineRule="auto"/>
        <w:rPr>
          <w:rFonts w:ascii="Times New Roman" w:eastAsia="Times New Roman" w:hAnsi="Times New Roman" w:cs="Times New Roman"/>
          <w:b/>
          <w:iCs/>
          <w:sz w:val="24"/>
          <w:szCs w:val="24"/>
        </w:rPr>
      </w:pPr>
      <w:r w:rsidRPr="00A868A8">
        <w:rPr>
          <w:rFonts w:ascii="Times New Roman" w:eastAsia="Times New Roman" w:hAnsi="Times New Roman" w:cs="Times New Roman"/>
          <w:b/>
          <w:iCs/>
          <w:sz w:val="24"/>
          <w:szCs w:val="24"/>
        </w:rPr>
        <w:t>Construction of social aspiration and motive-based reference groups</w:t>
      </w:r>
    </w:p>
    <w:p w14:paraId="24008CD4" w14:textId="068B5B52" w:rsidR="00750C42" w:rsidRDefault="00750C42" w:rsidP="0057655F">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We coded each study based on how motive-based reference groups (i.e., self-assessment and self-improvement) for social aspirations were defined and operationalized. The social reference group was coded as “baseline” (i.e., including all industry members) if a study used the mean </w:t>
      </w:r>
      <w:r>
        <w:rPr>
          <w:rFonts w:ascii="Times New Roman" w:eastAsia="Times New Roman" w:hAnsi="Times New Roman" w:cs="Times New Roman"/>
          <w:noProof/>
          <w:sz w:val="24"/>
          <w:szCs w:val="24"/>
        </w:rPr>
        <w:t>(Shimizu, 2007)</w:t>
      </w:r>
      <w:r>
        <w:rPr>
          <w:rFonts w:ascii="Times New Roman" w:eastAsia="Times New Roman" w:hAnsi="Times New Roman" w:cs="Times New Roman"/>
          <w:sz w:val="24"/>
          <w:szCs w:val="24"/>
        </w:rPr>
        <w:t xml:space="preserve"> or the median performance of the industry </w:t>
      </w:r>
      <w:r>
        <w:rPr>
          <w:rFonts w:ascii="Times New Roman" w:eastAsia="Times New Roman" w:hAnsi="Times New Roman" w:cs="Times New Roman"/>
          <w:noProof/>
          <w:sz w:val="24"/>
          <w:szCs w:val="24"/>
        </w:rPr>
        <w:t>(Lim and McCann, 2014)</w:t>
      </w:r>
      <w:r>
        <w:rPr>
          <w:rFonts w:ascii="Times New Roman" w:eastAsia="Times New Roman" w:hAnsi="Times New Roman" w:cs="Times New Roman"/>
          <w:sz w:val="24"/>
          <w:szCs w:val="24"/>
        </w:rPr>
        <w:t xml:space="preserve"> as a reference group. Unlike the studies examining the specific motivations with narrower specification for reference groups, the baseline studies did not further refine the reference groups, for example by using different levels of SIC codes or industry classification codes. Reference groups that were more narrowly defined than the industry </w:t>
      </w:r>
      <w:r w:rsidR="00AF334D">
        <w:rPr>
          <w:rFonts w:ascii="Times New Roman" w:eastAsia="Times New Roman" w:hAnsi="Times New Roman" w:cs="Times New Roman"/>
          <w:sz w:val="24"/>
          <w:szCs w:val="24"/>
        </w:rPr>
        <w:t>mean,</w:t>
      </w:r>
      <w:r>
        <w:rPr>
          <w:rFonts w:ascii="Times New Roman" w:eastAsia="Times New Roman" w:hAnsi="Times New Roman" w:cs="Times New Roman"/>
          <w:sz w:val="24"/>
          <w:szCs w:val="24"/>
        </w:rPr>
        <w:t xml:space="preserve"> or median were coded as “self-assessment”, for example strategic groups based on firm type, location, or size </w:t>
      </w:r>
      <w:r>
        <w:rPr>
          <w:rFonts w:ascii="Times New Roman" w:eastAsia="Times New Roman" w:hAnsi="Times New Roman" w:cs="Times New Roman"/>
          <w:noProof/>
          <w:sz w:val="24"/>
          <w:szCs w:val="24"/>
        </w:rPr>
        <w:t>(Ketchen Jr and Palmer, 1999, Kuusela et al., 2017)</w:t>
      </w:r>
      <w:r>
        <w:rPr>
          <w:rFonts w:ascii="Times New Roman" w:eastAsia="Times New Roman" w:hAnsi="Times New Roman" w:cs="Times New Roman"/>
          <w:sz w:val="24"/>
          <w:szCs w:val="24"/>
        </w:rPr>
        <w:t xml:space="preserve">; product offerings </w:t>
      </w:r>
      <w:r>
        <w:rPr>
          <w:rFonts w:ascii="Times New Roman" w:eastAsia="Times New Roman" w:hAnsi="Times New Roman" w:cs="Times New Roman"/>
          <w:noProof/>
          <w:sz w:val="24"/>
          <w:szCs w:val="24"/>
        </w:rPr>
        <w:t>(Hoang and Ener, 2015, Hu et al., 2017)</w:t>
      </w:r>
      <w:r>
        <w:rPr>
          <w:rFonts w:ascii="Times New Roman" w:eastAsia="Times New Roman" w:hAnsi="Times New Roman" w:cs="Times New Roman"/>
          <w:sz w:val="24"/>
          <w:szCs w:val="24"/>
        </w:rPr>
        <w:t>;</w:t>
      </w:r>
      <w:r w:rsidRPr="00186E88">
        <w:rPr>
          <w:rFonts w:ascii="Times New Roman" w:eastAsia="Times New Roman" w:hAnsi="Times New Roman" w:cs="Times New Roman"/>
          <w:sz w:val="24"/>
          <w:szCs w:val="24"/>
        </w:rPr>
        <w:t xml:space="preserve"> and target rivals </w:t>
      </w:r>
      <w:r w:rsidRPr="00186E88">
        <w:rPr>
          <w:rFonts w:ascii="Times New Roman" w:eastAsia="Times New Roman" w:hAnsi="Times New Roman" w:cs="Times New Roman"/>
          <w:noProof/>
          <w:sz w:val="24"/>
          <w:szCs w:val="24"/>
        </w:rPr>
        <w:t>(Park, 2007)</w:t>
      </w:r>
      <w:r>
        <w:rPr>
          <w:rFonts w:ascii="Times New Roman" w:eastAsia="Times New Roman" w:hAnsi="Times New Roman" w:cs="Times New Roman"/>
          <w:sz w:val="24"/>
          <w:szCs w:val="24"/>
        </w:rPr>
        <w:t xml:space="preserve">. We coded a reference group as “self-improvement” if a study either used the average performance of the top percentile firms, or the </w:t>
      </w:r>
      <w:r>
        <w:rPr>
          <w:rFonts w:ascii="Times New Roman" w:eastAsia="Times New Roman" w:hAnsi="Times New Roman" w:cs="Times New Roman"/>
          <w:sz w:val="24"/>
          <w:szCs w:val="24"/>
        </w:rPr>
        <w:lastRenderedPageBreak/>
        <w:t xml:space="preserve">performance of a top ranked firm, as the aspiration level. Examples of this group are striving reference groups that were oriented towards a desired future performance, and highly ambitious groups that focused on leaders or top performers within an industry </w:t>
      </w:r>
      <w:r w:rsidRPr="00186E88">
        <w:rPr>
          <w:rFonts w:ascii="Times New Roman" w:eastAsia="Times New Roman" w:hAnsi="Times New Roman" w:cs="Times New Roman"/>
          <w:noProof/>
          <w:sz w:val="24"/>
          <w:szCs w:val="24"/>
        </w:rPr>
        <w:t>(Boyle and Shapira, 2012, Hu et al., 2011, Moliterno et al., 2015)</w:t>
      </w:r>
      <w:r w:rsidRPr="00186E88">
        <w:rPr>
          <w:rFonts w:ascii="Times New Roman" w:eastAsia="Times New Roman" w:hAnsi="Times New Roman" w:cs="Times New Roman"/>
          <w:sz w:val="24"/>
          <w:szCs w:val="24"/>
        </w:rPr>
        <w:t>.</w:t>
      </w:r>
      <w:r w:rsidR="00AF334D">
        <w:rPr>
          <w:rFonts w:ascii="Times New Roman" w:eastAsia="Times New Roman" w:hAnsi="Times New Roman" w:cs="Times New Roman"/>
          <w:sz w:val="24"/>
          <w:szCs w:val="24"/>
        </w:rPr>
        <w:t xml:space="preserve"> See Appendix A2 for our coding scheme on motive-based reference groups.</w:t>
      </w:r>
    </w:p>
    <w:p w14:paraId="44275D1C" w14:textId="715C266B" w:rsidR="00750C42" w:rsidRDefault="00750C42" w:rsidP="0057655F">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Considering their emphasis on “comparability,” it is surprising that most empirical PFT studies use the industry mean (or median) as their social reference group, </w:t>
      </w:r>
      <w:proofErr w:type="gramStart"/>
      <w:r>
        <w:rPr>
          <w:rFonts w:ascii="Times New Roman" w:eastAsia="Times New Roman" w:hAnsi="Times New Roman" w:cs="Times New Roman"/>
          <w:sz w:val="24"/>
          <w:szCs w:val="24"/>
        </w:rPr>
        <w:t>assuming that</w:t>
      </w:r>
      <w:proofErr w:type="gramEnd"/>
      <w:r>
        <w:rPr>
          <w:rFonts w:ascii="Times New Roman" w:eastAsia="Times New Roman" w:hAnsi="Times New Roman" w:cs="Times New Roman"/>
          <w:sz w:val="24"/>
          <w:szCs w:val="24"/>
        </w:rPr>
        <w:t xml:space="preserve"> firms compare themselves to all other firms in their industry. With little justification (e.g., reference to “industry convention”, </w:t>
      </w:r>
      <w:r>
        <w:rPr>
          <w:rFonts w:ascii="Times New Roman" w:eastAsia="Times New Roman" w:hAnsi="Times New Roman" w:cs="Times New Roman"/>
          <w:noProof/>
          <w:sz w:val="24"/>
          <w:szCs w:val="24"/>
        </w:rPr>
        <w:t>(Greve, 1998: 63)</w:t>
      </w:r>
      <w:r>
        <w:rPr>
          <w:rFonts w:ascii="Times New Roman" w:eastAsia="Times New Roman" w:hAnsi="Times New Roman" w:cs="Times New Roman"/>
          <w:sz w:val="24"/>
          <w:szCs w:val="24"/>
        </w:rPr>
        <w:t xml:space="preserve">), the “industry mean” has become the generally accepted baseline measure for social aspirations in mainstream PFT research </w:t>
      </w:r>
      <w:r>
        <w:rPr>
          <w:rFonts w:ascii="Times New Roman" w:eastAsia="Times New Roman" w:hAnsi="Times New Roman" w:cs="Times New Roman"/>
          <w:noProof/>
          <w:sz w:val="24"/>
          <w:szCs w:val="24"/>
        </w:rPr>
        <w:t>(Greve, 2003b, Greve, 2008)</w:t>
      </w:r>
      <w:r>
        <w:rPr>
          <w:rFonts w:ascii="Times New Roman" w:eastAsia="Times New Roman" w:hAnsi="Times New Roman" w:cs="Times New Roman"/>
          <w:sz w:val="24"/>
          <w:szCs w:val="24"/>
        </w:rPr>
        <w:t xml:space="preserve">. </w:t>
      </w:r>
    </w:p>
    <w:p w14:paraId="352BC893" w14:textId="77777777" w:rsidR="00750C42" w:rsidRDefault="00750C42">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Analyses</w:t>
      </w:r>
    </w:p>
    <w:p w14:paraId="6BBA7B3A" w14:textId="77777777" w:rsidR="00750C42" w:rsidRPr="00A868A8" w:rsidRDefault="00750C42">
      <w:pPr>
        <w:spacing w:line="480" w:lineRule="auto"/>
        <w:rPr>
          <w:rFonts w:ascii="Times New Roman" w:eastAsia="Times New Roman" w:hAnsi="Times New Roman" w:cs="Times New Roman"/>
          <w:sz w:val="24"/>
          <w:szCs w:val="24"/>
        </w:rPr>
      </w:pPr>
      <w:r w:rsidRPr="00A868A8">
        <w:rPr>
          <w:rFonts w:ascii="Times New Roman" w:eastAsia="Times New Roman" w:hAnsi="Times New Roman" w:cs="Times New Roman"/>
          <w:sz w:val="24"/>
          <w:szCs w:val="24"/>
        </w:rPr>
        <w:t xml:space="preserve">To test our hypotheses and to determine the overall effects, we used bivariate meta-analytic procedures </w:t>
      </w:r>
      <w:r w:rsidRPr="00A868A8">
        <w:rPr>
          <w:rFonts w:ascii="Times New Roman" w:eastAsia="Times New Roman" w:hAnsi="Times New Roman" w:cs="Times New Roman"/>
          <w:noProof/>
          <w:sz w:val="24"/>
          <w:szCs w:val="24"/>
        </w:rPr>
        <w:t>(Hunter and Schmidt, 1990)</w:t>
      </w:r>
      <w:r w:rsidRPr="00A868A8">
        <w:rPr>
          <w:rFonts w:ascii="Times New Roman" w:eastAsia="Times New Roman" w:hAnsi="Times New Roman" w:cs="Times New Roman"/>
          <w:sz w:val="24"/>
          <w:szCs w:val="24"/>
        </w:rPr>
        <w:t xml:space="preserve">, since this approach is the most accurate and widely used meta-analytical method in management research </w:t>
      </w:r>
      <w:r w:rsidRPr="00A868A8">
        <w:rPr>
          <w:rFonts w:ascii="Times New Roman" w:eastAsia="Times New Roman" w:hAnsi="Times New Roman" w:cs="Times New Roman"/>
          <w:noProof/>
          <w:sz w:val="24"/>
          <w:szCs w:val="24"/>
        </w:rPr>
        <w:t>(Bergh et al., 2016, Crook et al., 2008, Geyskens et al., 2008)</w:t>
      </w:r>
      <w:r w:rsidRPr="00A868A8">
        <w:rPr>
          <w:rFonts w:ascii="Times New Roman" w:eastAsia="Times New Roman" w:hAnsi="Times New Roman" w:cs="Times New Roman"/>
          <w:sz w:val="24"/>
          <w:szCs w:val="24"/>
        </w:rPr>
        <w:t>. We calculated the sample-size weighted average effect sizes from the Pearson correlation coefficients, using the following formula:</w:t>
      </w:r>
    </w:p>
    <w:p w14:paraId="6C165960" w14:textId="0530232C" w:rsidR="00750C42" w:rsidRPr="00A868A8" w:rsidRDefault="0057399D">
      <w:pPr>
        <w:jc w:val="center"/>
        <w:rPr>
          <w:rFonts w:ascii="Cambria Math" w:eastAsia="Cambria Math" w:hAnsi="Cambria Math" w:cs="Cambria Math"/>
        </w:rPr>
      </w:pPr>
      <m:oMathPara>
        <m:oMath>
          <m:bar>
            <m:barPr>
              <m:pos m:val="top"/>
              <m:ctrlPr>
                <w:rPr>
                  <w:rFonts w:ascii="Cambria Math" w:eastAsia="Cambria Math" w:hAnsi="Cambria Math" w:cs="Times New Roman"/>
                </w:rPr>
              </m:ctrlPr>
            </m:barPr>
            <m:e>
              <m:r>
                <m:rPr>
                  <m:sty m:val="p"/>
                </m:rPr>
                <w:rPr>
                  <w:rFonts w:ascii="Cambria Math" w:eastAsia="Cambria Math" w:hAnsi="Cambria Math" w:cs="Times New Roman"/>
                </w:rPr>
                <m:t>r</m:t>
              </m:r>
            </m:e>
          </m:bar>
          <m:r>
            <w:rPr>
              <w:rFonts w:ascii="Cambria Math" w:eastAsia="Cambria Math" w:hAnsi="Cambria Math" w:cs="Times New Roman"/>
            </w:rPr>
            <m:t>=</m:t>
          </m:r>
          <m:f>
            <m:fPr>
              <m:ctrlPr>
                <w:rPr>
                  <w:rFonts w:ascii="Cambria Math" w:eastAsia="Cambria Math" w:hAnsi="Cambria Math" w:cs="Times New Roman"/>
                  <w:i/>
                </w:rPr>
              </m:ctrlPr>
            </m:fPr>
            <m:num>
              <m:nary>
                <m:naryPr>
                  <m:chr m:val="∑"/>
                  <m:limLoc m:val="undOvr"/>
                  <m:subHide m:val="1"/>
                  <m:supHide m:val="1"/>
                  <m:ctrlPr>
                    <w:rPr>
                      <w:rFonts w:ascii="Cambria Math" w:eastAsia="Cambria Math" w:hAnsi="Cambria Math" w:cs="Times New Roman"/>
                      <w:i/>
                    </w:rPr>
                  </m:ctrlPr>
                </m:naryPr>
                <m:sub/>
                <m:sup/>
                <m:e>
                  <m:sSub>
                    <m:sSubPr>
                      <m:ctrlPr>
                        <w:rPr>
                          <w:rFonts w:ascii="Cambria Math" w:eastAsia="Cambria Math" w:hAnsi="Cambria Math" w:cs="Times New Roman"/>
                        </w:rPr>
                      </m:ctrlPr>
                    </m:sSubPr>
                    <m:e>
                      <m:r>
                        <w:rPr>
                          <w:rFonts w:ascii="Cambria Math" w:eastAsia="Cambria Math" w:hAnsi="Cambria Math" w:cs="Times New Roman"/>
                        </w:rPr>
                        <m:t>n</m:t>
                      </m:r>
                    </m:e>
                    <m:sub>
                      <m:r>
                        <w:rPr>
                          <w:rFonts w:ascii="Cambria Math" w:eastAsia="Cambria Math" w:hAnsi="Cambria Math" w:cs="Times New Roman"/>
                        </w:rPr>
                        <m:t>i</m:t>
                      </m:r>
                    </m:sub>
                  </m:sSub>
                  <m:sSub>
                    <m:sSubPr>
                      <m:ctrlPr>
                        <w:rPr>
                          <w:rFonts w:ascii="Cambria Math" w:eastAsia="Cambria Math" w:hAnsi="Cambria Math" w:cs="Times New Roman"/>
                        </w:rPr>
                      </m:ctrlPr>
                    </m:sSubPr>
                    <m:e>
                      <m:r>
                        <w:rPr>
                          <w:rFonts w:ascii="Cambria Math" w:eastAsia="Cambria Math" w:hAnsi="Cambria Math" w:cs="Times New Roman"/>
                        </w:rPr>
                        <m:t>r</m:t>
                      </m:r>
                    </m:e>
                    <m:sub>
                      <m:r>
                        <w:rPr>
                          <w:rFonts w:ascii="Cambria Math" w:eastAsia="Cambria Math" w:hAnsi="Cambria Math" w:cs="Times New Roman"/>
                        </w:rPr>
                        <m:t>i</m:t>
                      </m:r>
                    </m:sub>
                  </m:sSub>
                </m:e>
              </m:nary>
            </m:num>
            <m:den>
              <m:nary>
                <m:naryPr>
                  <m:chr m:val="∑"/>
                  <m:limLoc m:val="undOvr"/>
                  <m:subHide m:val="1"/>
                  <m:supHide m:val="1"/>
                  <m:ctrlPr>
                    <w:rPr>
                      <w:rFonts w:ascii="Cambria Math" w:eastAsia="Cambria Math" w:hAnsi="Cambria Math" w:cs="Times New Roman"/>
                      <w:i/>
                    </w:rPr>
                  </m:ctrlPr>
                </m:naryPr>
                <m:sub/>
                <m:sup/>
                <m:e>
                  <m:sSub>
                    <m:sSubPr>
                      <m:ctrlPr>
                        <w:rPr>
                          <w:rFonts w:ascii="Cambria Math" w:eastAsia="Cambria Math" w:hAnsi="Cambria Math" w:cs="Times New Roman"/>
                        </w:rPr>
                      </m:ctrlPr>
                    </m:sSubPr>
                    <m:e>
                      <m:r>
                        <w:rPr>
                          <w:rFonts w:ascii="Cambria Math" w:eastAsia="Cambria Math" w:hAnsi="Cambria Math" w:cs="Times New Roman"/>
                        </w:rPr>
                        <m:t>n</m:t>
                      </m:r>
                    </m:e>
                    <m:sub>
                      <m:r>
                        <w:rPr>
                          <w:rFonts w:ascii="Cambria Math" w:eastAsia="Cambria Math" w:hAnsi="Cambria Math" w:cs="Times New Roman"/>
                        </w:rPr>
                        <m:t>i</m:t>
                      </m:r>
                    </m:sub>
                  </m:sSub>
                </m:e>
              </m:nary>
            </m:den>
          </m:f>
        </m:oMath>
      </m:oMathPara>
    </w:p>
    <w:p w14:paraId="306FBB13" w14:textId="3D4D3CE1" w:rsidR="00750C42" w:rsidRPr="00A868A8" w:rsidRDefault="00750C42" w:rsidP="0057655F">
      <w:pPr>
        <w:spacing w:line="480" w:lineRule="auto"/>
        <w:rPr>
          <w:rFonts w:ascii="Times New Roman" w:eastAsia="Times New Roman" w:hAnsi="Times New Roman" w:cs="Times New Roman"/>
          <w:sz w:val="24"/>
          <w:szCs w:val="24"/>
        </w:rPr>
      </w:pPr>
      <w:r w:rsidRPr="00A868A8">
        <w:rPr>
          <w:rFonts w:ascii="Times New Roman" w:eastAsia="Times New Roman" w:hAnsi="Times New Roman" w:cs="Times New Roman"/>
          <w:sz w:val="24"/>
          <w:szCs w:val="24"/>
        </w:rPr>
        <w:t xml:space="preserve">where </w:t>
      </w:r>
      <m:oMath>
        <m:bar>
          <m:barPr>
            <m:pos m:val="top"/>
            <m:ctrlPr>
              <w:rPr>
                <w:rFonts w:ascii="Cambria Math" w:eastAsia="Times New Roman" w:hAnsi="Cambria Math" w:cs="Times New Roman"/>
                <w:i/>
                <w:sz w:val="24"/>
                <w:szCs w:val="24"/>
              </w:rPr>
            </m:ctrlPr>
          </m:barPr>
          <m:e>
            <m:r>
              <w:rPr>
                <w:rFonts w:ascii="Cambria Math" w:eastAsia="Times New Roman" w:hAnsi="Cambria Math" w:cs="Times New Roman"/>
                <w:sz w:val="24"/>
                <w:szCs w:val="24"/>
              </w:rPr>
              <m:t>r</m:t>
            </m:r>
          </m:e>
        </m:bar>
      </m:oMath>
      <w:r w:rsidRPr="00A868A8">
        <w:rPr>
          <w:rFonts w:ascii="Times New Roman" w:eastAsia="Times New Roman" w:hAnsi="Times New Roman" w:cs="Times New Roman"/>
          <w:sz w:val="24"/>
          <w:szCs w:val="24"/>
        </w:rPr>
        <w:t xml:space="preserve"> is the average effect size;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n</m:t>
            </m:r>
          </m:e>
          <m:sub>
            <m:r>
              <w:rPr>
                <w:rFonts w:ascii="Cambria Math" w:eastAsia="Cambria Math" w:hAnsi="Cambria Math" w:cs="Times New Roman"/>
                <w:sz w:val="24"/>
                <w:szCs w:val="24"/>
              </w:rPr>
              <m:t>i</m:t>
            </m:r>
          </m:sub>
        </m:sSub>
      </m:oMath>
      <w:r w:rsidRPr="00A868A8">
        <w:rPr>
          <w:rFonts w:ascii="Times New Roman" w:eastAsia="Times New Roman" w:hAnsi="Times New Roman" w:cs="Times New Roman"/>
          <w:sz w:val="24"/>
          <w:szCs w:val="24"/>
        </w:rPr>
        <w:t xml:space="preserve"> is the sample size; and </w:t>
      </w:r>
      <m:oMath>
        <m:sSub>
          <m:sSubPr>
            <m:ctrlPr>
              <w:rPr>
                <w:rFonts w:ascii="Cambria Math" w:eastAsia="Cambria Math" w:hAnsi="Cambria Math" w:cs="Times New Roman"/>
                <w:sz w:val="24"/>
                <w:szCs w:val="24"/>
              </w:rPr>
            </m:ctrlPr>
          </m:sSubPr>
          <m:e>
            <m:r>
              <w:rPr>
                <w:rFonts w:ascii="Cambria Math" w:eastAsia="Cambria Math" w:hAnsi="Cambria Math" w:cs="Times New Roman"/>
                <w:sz w:val="24"/>
                <w:szCs w:val="24"/>
              </w:rPr>
              <m:t>r</m:t>
            </m:r>
          </m:e>
          <m:sub>
            <m:r>
              <w:rPr>
                <w:rFonts w:ascii="Cambria Math" w:eastAsia="Cambria Math" w:hAnsi="Cambria Math" w:cs="Times New Roman"/>
                <w:sz w:val="24"/>
                <w:szCs w:val="24"/>
              </w:rPr>
              <m:t>i</m:t>
            </m:r>
          </m:sub>
        </m:sSub>
      </m:oMath>
      <w:r w:rsidRPr="00A868A8">
        <w:rPr>
          <w:rFonts w:ascii="Times New Roman" w:eastAsia="Times New Roman" w:hAnsi="Times New Roman" w:cs="Times New Roman"/>
          <w:sz w:val="24"/>
          <w:szCs w:val="24"/>
        </w:rPr>
        <w:t xml:space="preserve"> is the Pearson correlation coefficient. </w:t>
      </w:r>
    </w:p>
    <w:p w14:paraId="4968A3D7" w14:textId="77777777"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Since most studies drew on archival rather than survey data, and did not report information on measurement error, we used uncorrected correlation coefficients in our analyses, agreeing with </w:t>
      </w:r>
      <w:proofErr w:type="spellStart"/>
      <w:r w:rsidRPr="00186E88">
        <w:rPr>
          <w:rFonts w:ascii="Times New Roman" w:eastAsia="Times New Roman" w:hAnsi="Times New Roman" w:cs="Times New Roman"/>
          <w:sz w:val="24"/>
          <w:szCs w:val="24"/>
        </w:rPr>
        <w:t>Aguinis</w:t>
      </w:r>
      <w:proofErr w:type="spellEnd"/>
      <w:r w:rsidRPr="00186E88">
        <w:rPr>
          <w:rFonts w:ascii="Times New Roman" w:eastAsia="Times New Roman" w:hAnsi="Times New Roman" w:cs="Times New Roman"/>
          <w:sz w:val="24"/>
          <w:szCs w:val="24"/>
        </w:rPr>
        <w:t xml:space="preserve"> et al. (2011: 1038)</w:t>
      </w:r>
      <w:r>
        <w:rPr>
          <w:rFonts w:ascii="Times New Roman" w:eastAsia="Times New Roman" w:hAnsi="Times New Roman" w:cs="Times New Roman"/>
          <w:sz w:val="24"/>
          <w:szCs w:val="24"/>
        </w:rPr>
        <w:t xml:space="preserve">’s suggestion that “if primary-level studies do not </w:t>
      </w:r>
      <w:r>
        <w:rPr>
          <w:rFonts w:ascii="Times New Roman" w:eastAsia="Times New Roman" w:hAnsi="Times New Roman" w:cs="Times New Roman"/>
          <w:sz w:val="24"/>
          <w:szCs w:val="24"/>
        </w:rPr>
        <w:lastRenderedPageBreak/>
        <w:t xml:space="preserve">provide information on measurement error for each of the variables, correcting for unreliability in a meta-analysis may turn into a guessing game”. </w:t>
      </w:r>
    </w:p>
    <w:p w14:paraId="4E624413" w14:textId="77777777" w:rsidR="00750C42" w:rsidRDefault="00750C42" w:rsidP="0057655F">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After assessing the overall effect sizes, we used subgroup analyses to compare the effect sizes of different subgroups. These subgroup analyses allowed us to compare the effect sizes of organizational performance feedback for different motive-based social reference groups. Following </w:t>
      </w:r>
      <w:r w:rsidRPr="00186E88">
        <w:rPr>
          <w:rFonts w:ascii="Times New Roman" w:eastAsia="Times New Roman" w:hAnsi="Times New Roman" w:cs="Times New Roman"/>
          <w:sz w:val="24"/>
          <w:szCs w:val="24"/>
        </w:rPr>
        <w:t xml:space="preserve">Hunter and Schmidt (1990) and Schmidt and Hunter (2014), </w:t>
      </w:r>
      <w:r>
        <w:rPr>
          <w:rFonts w:ascii="Times New Roman" w:eastAsia="Times New Roman" w:hAnsi="Times New Roman" w:cs="Times New Roman"/>
          <w:sz w:val="24"/>
          <w:szCs w:val="24"/>
        </w:rPr>
        <w:t>we calculated the mean effect sizes for each subgroup and used Z-tests to evaluate the differences across groups</w:t>
      </w:r>
      <w:r>
        <w:rPr>
          <w:rStyle w:val="EndnoteReference"/>
          <w:rFonts w:ascii="Times New Roman" w:eastAsia="Times New Roman" w:hAnsi="Times New Roman" w:cs="Times New Roman"/>
          <w:sz w:val="24"/>
          <w:szCs w:val="24"/>
        </w:rPr>
        <w:endnoteReference w:id="3"/>
      </w:r>
      <w:r>
        <w:rPr>
          <w:rFonts w:ascii="Times New Roman" w:eastAsia="Times New Roman" w:hAnsi="Times New Roman" w:cs="Times New Roman"/>
          <w:sz w:val="24"/>
          <w:szCs w:val="24"/>
        </w:rPr>
        <w:t xml:space="preserve">. </w:t>
      </w:r>
    </w:p>
    <w:p w14:paraId="2ADA65FE" w14:textId="77777777" w:rsidR="00750C42" w:rsidRDefault="00750C42">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RESULTS</w:t>
      </w:r>
    </w:p>
    <w:p w14:paraId="178799FE" w14:textId="405908DF" w:rsidR="00750C42" w:rsidRDefault="00750C42">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Table 2 presents the overall effects of performance below and above social aspirations on organizational responses. The effect of performance below social aspirations is negative and significant (r = -0.084, p = 0.000), suggesting that performance decreases below aspirations result in increases in organizational responses</w:t>
      </w:r>
      <w:r>
        <w:rPr>
          <w:rStyle w:val="EndnoteReference"/>
          <w:rFonts w:ascii="Times New Roman" w:eastAsia="Times New Roman" w:hAnsi="Times New Roman" w:cs="Times New Roman"/>
          <w:sz w:val="24"/>
          <w:szCs w:val="24"/>
        </w:rPr>
        <w:endnoteReference w:id="4"/>
      </w:r>
      <w:r>
        <w:rPr>
          <w:rFonts w:ascii="Times New Roman" w:eastAsia="Times New Roman" w:hAnsi="Times New Roman" w:cs="Times New Roman"/>
          <w:sz w:val="24"/>
          <w:szCs w:val="24"/>
        </w:rPr>
        <w:t xml:space="preserve">. The effect of performance above social aspirations is positive, but not significant (r = 0.007, p = 0.615). Following </w:t>
      </w:r>
      <w:r>
        <w:rPr>
          <w:rFonts w:ascii="Times New Roman" w:eastAsia="Times New Roman" w:hAnsi="Times New Roman" w:cs="Times New Roman"/>
          <w:noProof/>
          <w:sz w:val="24"/>
          <w:szCs w:val="24"/>
        </w:rPr>
        <w:t>Gonzalez-Mulé and Aguinis (2018)</w:t>
      </w:r>
      <w:r>
        <w:rPr>
          <w:rFonts w:ascii="Times New Roman" w:eastAsia="Times New Roman" w:hAnsi="Times New Roman" w:cs="Times New Roman"/>
          <w:sz w:val="24"/>
          <w:szCs w:val="24"/>
        </w:rPr>
        <w:t xml:space="preserve"> and </w:t>
      </w:r>
      <w:r>
        <w:rPr>
          <w:rFonts w:ascii="Times New Roman" w:eastAsia="Times New Roman" w:hAnsi="Times New Roman" w:cs="Times New Roman"/>
          <w:noProof/>
          <w:sz w:val="24"/>
          <w:szCs w:val="24"/>
        </w:rPr>
        <w:t>Geyskens et al. (2008)</w:t>
      </w:r>
      <w:r w:rsidRPr="00646D4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we report the credibility intervals and I</w:t>
      </w:r>
      <w:r>
        <w:rPr>
          <w:rFonts w:ascii="Times New Roman" w:eastAsia="Times New Roman" w:hAnsi="Times New Roman" w:cs="Times New Roman"/>
          <w:sz w:val="24"/>
          <w:szCs w:val="24"/>
          <w:vertAlign w:val="superscript"/>
        </w:rPr>
        <w:t>2</w:t>
      </w:r>
      <w:r>
        <w:rPr>
          <w:rFonts w:ascii="Times New Roman" w:eastAsia="Times New Roman" w:hAnsi="Times New Roman" w:cs="Times New Roman"/>
          <w:sz w:val="24"/>
          <w:szCs w:val="24"/>
        </w:rPr>
        <w:t xml:space="preserve"> ratios of between-study variance to total variance for each effect. Both results (</w:t>
      </w:r>
      <w:r>
        <w:rPr>
          <w:rFonts w:ascii="Times New Roman" w:eastAsia="Times New Roman" w:hAnsi="Times New Roman" w:cs="Times New Roman"/>
          <w:i/>
          <w:sz w:val="24"/>
          <w:szCs w:val="24"/>
        </w:rPr>
        <w:t>i.e</w:t>
      </w:r>
      <w:r>
        <w:rPr>
          <w:rFonts w:ascii="Times New Roman" w:eastAsia="Times New Roman" w:hAnsi="Times New Roman" w:cs="Times New Roman"/>
          <w:sz w:val="24"/>
          <w:szCs w:val="24"/>
        </w:rPr>
        <w:t>., credibility intervals that include 0, I</w:t>
      </w:r>
      <w:r>
        <w:rPr>
          <w:rFonts w:ascii="Times New Roman" w:eastAsia="Times New Roman" w:hAnsi="Times New Roman" w:cs="Times New Roman"/>
          <w:sz w:val="24"/>
          <w:szCs w:val="24"/>
          <w:vertAlign w:val="superscript"/>
        </w:rPr>
        <w:t>2</w:t>
      </w:r>
      <w:r>
        <w:rPr>
          <w:rFonts w:ascii="Times New Roman" w:eastAsia="Times New Roman" w:hAnsi="Times New Roman" w:cs="Times New Roman"/>
          <w:sz w:val="24"/>
          <w:szCs w:val="24"/>
        </w:rPr>
        <w:t xml:space="preserve"> ratios above 50%) indicate that effect sizes are heterogeneous and subgroup analyses are warranted </w:t>
      </w:r>
      <w:r>
        <w:rPr>
          <w:rFonts w:ascii="Times New Roman" w:eastAsia="Times New Roman" w:hAnsi="Times New Roman" w:cs="Times New Roman"/>
          <w:noProof/>
          <w:sz w:val="24"/>
          <w:szCs w:val="24"/>
        </w:rPr>
        <w:t>(Gonzalez-Mulé and Aguinis, 2018, Higgins and Thompson, 2002, Whitener, 1990)</w:t>
      </w:r>
      <w:r w:rsidRPr="00646D4E">
        <w:rPr>
          <w:rFonts w:ascii="Times New Roman" w:eastAsia="Times New Roman" w:hAnsi="Times New Roman" w:cs="Times New Roman"/>
          <w:sz w:val="24"/>
          <w:szCs w:val="24"/>
        </w:rPr>
        <w:t>.</w:t>
      </w:r>
    </w:p>
    <w:p w14:paraId="32B633F8" w14:textId="4AC201A7" w:rsidR="00612C49" w:rsidRDefault="00612C49" w:rsidP="00612C49">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Table 3 presents the effects for performance above and below social aspirations, separated for different reference groups and the </w:t>
      </w:r>
      <w:sdt>
        <w:sdtPr>
          <w:tag w:val="goog_rdk_5"/>
          <w:id w:val="1803964315"/>
        </w:sdtPr>
        <w:sdtEndPr/>
        <w:sdtContent/>
      </w:sdt>
      <w:r>
        <w:rPr>
          <w:rFonts w:ascii="Times New Roman" w:eastAsia="Times New Roman" w:hAnsi="Times New Roman" w:cs="Times New Roman"/>
          <w:sz w:val="24"/>
          <w:szCs w:val="24"/>
        </w:rPr>
        <w:t xml:space="preserve">motives we focus on in this paper, namely baseline, self-assessment, and self-improvement. These results suggest that baseline measures explain organizational responses to performance below aspirations since the effect is negative </w:t>
      </w:r>
      <w:r>
        <w:rPr>
          <w:rFonts w:ascii="Times New Roman" w:eastAsia="Times New Roman" w:hAnsi="Times New Roman" w:cs="Times New Roman"/>
          <w:sz w:val="24"/>
          <w:szCs w:val="24"/>
        </w:rPr>
        <w:lastRenderedPageBreak/>
        <w:t xml:space="preserve">and significant (Table 3: </w:t>
      </w:r>
      <w:r>
        <w:rPr>
          <w:rFonts w:ascii="Times New Roman" w:eastAsia="Times New Roman" w:hAnsi="Times New Roman" w:cs="Times New Roman"/>
          <w:i/>
          <w:sz w:val="24"/>
          <w:szCs w:val="24"/>
        </w:rPr>
        <w:t xml:space="preserve">r </w:t>
      </w:r>
      <w:r>
        <w:rPr>
          <w:rFonts w:ascii="Times New Roman" w:eastAsia="Times New Roman" w:hAnsi="Times New Roman" w:cs="Times New Roman"/>
          <w:sz w:val="24"/>
          <w:szCs w:val="24"/>
        </w:rPr>
        <w:t xml:space="preserve">= -0.087, </w:t>
      </w:r>
      <w:r>
        <w:rPr>
          <w:rFonts w:ascii="Times New Roman" w:eastAsia="Times New Roman" w:hAnsi="Times New Roman" w:cs="Times New Roman"/>
          <w:i/>
          <w:sz w:val="24"/>
          <w:szCs w:val="24"/>
        </w:rPr>
        <w:t>p</w:t>
      </w:r>
      <w:r>
        <w:rPr>
          <w:rFonts w:ascii="Times New Roman" w:eastAsia="Times New Roman" w:hAnsi="Times New Roman" w:cs="Times New Roman"/>
          <w:sz w:val="24"/>
          <w:szCs w:val="24"/>
        </w:rPr>
        <w:t xml:space="preserve"> = 0.000), but not responses to performance above aspirations since the effect is not significant (</w:t>
      </w:r>
      <w:r>
        <w:rPr>
          <w:rFonts w:ascii="Times New Roman" w:eastAsia="Times New Roman" w:hAnsi="Times New Roman" w:cs="Times New Roman"/>
          <w:i/>
          <w:sz w:val="24"/>
          <w:szCs w:val="24"/>
        </w:rPr>
        <w:t>p</w:t>
      </w:r>
      <w:r>
        <w:rPr>
          <w:rFonts w:ascii="Times New Roman" w:eastAsia="Times New Roman" w:hAnsi="Times New Roman" w:cs="Times New Roman"/>
          <w:sz w:val="24"/>
          <w:szCs w:val="24"/>
        </w:rPr>
        <w:t xml:space="preserve"> = 0.393).</w:t>
      </w:r>
    </w:p>
    <w:p w14:paraId="390221CB" w14:textId="77777777" w:rsidR="00EC7E61" w:rsidRDefault="00EC7E61" w:rsidP="00EC7E61">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TABLE 2.</w:t>
      </w:r>
    </w:p>
    <w:p w14:paraId="21D74B0E" w14:textId="77777777" w:rsidR="00EC7E61" w:rsidRDefault="00EC7E61" w:rsidP="00EC7E61">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Baseline Effects of Performance Below and Above Social Aspirations on Organizational </w:t>
      </w:r>
    </w:p>
    <w:p w14:paraId="5B67178D" w14:textId="77777777" w:rsidR="00EC7E61" w:rsidRDefault="00EC7E61" w:rsidP="00EC7E61">
      <w:pPr>
        <w:spacing w:line="240" w:lineRule="auto"/>
        <w:jc w:val="center"/>
        <w:rPr>
          <w:rFonts w:ascii="Times New Roman" w:eastAsia="Times New Roman" w:hAnsi="Times New Roman" w:cs="Times New Roman"/>
          <w:b/>
          <w:sz w:val="24"/>
          <w:szCs w:val="24"/>
        </w:rPr>
      </w:pPr>
    </w:p>
    <w:p w14:paraId="1CFF504B" w14:textId="77777777" w:rsidR="00EC7E61" w:rsidRDefault="00EC7E61" w:rsidP="00EC7E61">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Responses</w:t>
      </w:r>
    </w:p>
    <w:p w14:paraId="09B81F72" w14:textId="77777777" w:rsidR="00EC7E61" w:rsidRDefault="00EC7E61" w:rsidP="00EC7E61">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tbl>
      <w:tblPr>
        <w:tblW w:w="93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2710"/>
        <w:gridCol w:w="801"/>
        <w:gridCol w:w="923"/>
        <w:gridCol w:w="742"/>
        <w:gridCol w:w="801"/>
        <w:gridCol w:w="1136"/>
        <w:gridCol w:w="1121"/>
        <w:gridCol w:w="1106"/>
      </w:tblGrid>
      <w:tr w:rsidR="00EC7E61" w14:paraId="42470B5A" w14:textId="77777777" w:rsidTr="0057655F">
        <w:trPr>
          <w:trHeight w:val="555"/>
        </w:trPr>
        <w:tc>
          <w:tcPr>
            <w:tcW w:w="271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79B15DA" w14:textId="77777777" w:rsidR="00EC7E61" w:rsidRDefault="00EC7E61" w:rsidP="0057655F">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tc>
        <w:tc>
          <w:tcPr>
            <w:tcW w:w="801"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13A24A4D" w14:textId="77777777" w:rsidR="00EC7E61" w:rsidRDefault="00EC7E61" w:rsidP="0057655F">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k</w:t>
            </w:r>
          </w:p>
        </w:tc>
        <w:tc>
          <w:tcPr>
            <w:tcW w:w="923"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54093A6C" w14:textId="77777777" w:rsidR="00EC7E61" w:rsidRDefault="00EC7E61" w:rsidP="0057655F">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r</w:t>
            </w:r>
          </w:p>
        </w:tc>
        <w:tc>
          <w:tcPr>
            <w:tcW w:w="742"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011321E5" w14:textId="77777777" w:rsidR="00EC7E61" w:rsidRDefault="00EC7E61" w:rsidP="0057655F">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p</w:t>
            </w:r>
          </w:p>
        </w:tc>
        <w:tc>
          <w:tcPr>
            <w:tcW w:w="801"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56080DCE" w14:textId="77777777" w:rsidR="00EC7E61" w:rsidRDefault="00EC7E61" w:rsidP="0057655F">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SE</w:t>
            </w:r>
          </w:p>
        </w:tc>
        <w:tc>
          <w:tcPr>
            <w:tcW w:w="1136"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0E0679D9" w14:textId="77777777" w:rsidR="00EC7E61" w:rsidRDefault="00EC7E61" w:rsidP="0057655F">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CI 95%</w:t>
            </w:r>
          </w:p>
        </w:tc>
        <w:tc>
          <w:tcPr>
            <w:tcW w:w="1121"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297D28E4" w14:textId="77777777" w:rsidR="00EC7E61" w:rsidRDefault="00EC7E61" w:rsidP="0057655F">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Cr. I. 95%</w:t>
            </w:r>
          </w:p>
        </w:tc>
        <w:tc>
          <w:tcPr>
            <w:tcW w:w="1106"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41966900" w14:textId="77777777" w:rsidR="00EC7E61" w:rsidRDefault="00EC7E61" w:rsidP="0057655F">
            <w:pPr>
              <w:spacing w:line="240" w:lineRule="auto"/>
              <w:jc w:val="center"/>
              <w:rPr>
                <w:rFonts w:ascii="Times New Roman" w:eastAsia="Times New Roman" w:hAnsi="Times New Roman" w:cs="Times New Roman"/>
                <w:b/>
                <w:sz w:val="24"/>
                <w:szCs w:val="24"/>
                <w:vertAlign w:val="superscript"/>
              </w:rPr>
            </w:pPr>
            <w:r>
              <w:rPr>
                <w:rFonts w:ascii="Times New Roman" w:eastAsia="Times New Roman" w:hAnsi="Times New Roman" w:cs="Times New Roman"/>
                <w:b/>
                <w:sz w:val="24"/>
                <w:szCs w:val="24"/>
              </w:rPr>
              <w:t>I</w:t>
            </w:r>
            <w:r>
              <w:rPr>
                <w:rFonts w:ascii="Times New Roman" w:eastAsia="Times New Roman" w:hAnsi="Times New Roman" w:cs="Times New Roman"/>
                <w:b/>
                <w:sz w:val="24"/>
                <w:szCs w:val="24"/>
                <w:vertAlign w:val="superscript"/>
              </w:rPr>
              <w:t>2</w:t>
            </w:r>
          </w:p>
        </w:tc>
      </w:tr>
      <w:tr w:rsidR="00EC7E61" w14:paraId="02CEF60D" w14:textId="77777777" w:rsidTr="0057655F">
        <w:trPr>
          <w:trHeight w:val="555"/>
        </w:trPr>
        <w:tc>
          <w:tcPr>
            <w:tcW w:w="2710"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3A8B5A2E" w14:textId="77777777" w:rsidR="00EC7E61" w:rsidRDefault="00EC7E61" w:rsidP="0057655F">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Performance Below Social Aspirations</w:t>
            </w:r>
          </w:p>
        </w:tc>
        <w:tc>
          <w:tcPr>
            <w:tcW w:w="801" w:type="dxa"/>
            <w:tcBorders>
              <w:bottom w:val="single" w:sz="8" w:space="0" w:color="000000"/>
              <w:right w:val="single" w:sz="8" w:space="0" w:color="000000"/>
            </w:tcBorders>
            <w:tcMar>
              <w:top w:w="100" w:type="dxa"/>
              <w:left w:w="100" w:type="dxa"/>
              <w:bottom w:w="100" w:type="dxa"/>
              <w:right w:w="100" w:type="dxa"/>
            </w:tcMar>
          </w:tcPr>
          <w:p w14:paraId="0F0F726D"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80</w:t>
            </w:r>
          </w:p>
        </w:tc>
        <w:tc>
          <w:tcPr>
            <w:tcW w:w="923" w:type="dxa"/>
            <w:tcBorders>
              <w:bottom w:val="single" w:sz="8" w:space="0" w:color="000000"/>
              <w:right w:val="single" w:sz="8" w:space="0" w:color="000000"/>
            </w:tcBorders>
            <w:tcMar>
              <w:top w:w="100" w:type="dxa"/>
              <w:left w:w="100" w:type="dxa"/>
              <w:bottom w:w="100" w:type="dxa"/>
              <w:right w:w="100" w:type="dxa"/>
            </w:tcMar>
          </w:tcPr>
          <w:p w14:paraId="5EA57FA9"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-0.084</w:t>
            </w:r>
          </w:p>
        </w:tc>
        <w:tc>
          <w:tcPr>
            <w:tcW w:w="742" w:type="dxa"/>
            <w:tcBorders>
              <w:bottom w:val="single" w:sz="8" w:space="0" w:color="000000"/>
              <w:right w:val="single" w:sz="8" w:space="0" w:color="000000"/>
            </w:tcBorders>
            <w:tcMar>
              <w:top w:w="100" w:type="dxa"/>
              <w:left w:w="100" w:type="dxa"/>
              <w:bottom w:w="100" w:type="dxa"/>
              <w:right w:w="100" w:type="dxa"/>
            </w:tcMar>
          </w:tcPr>
          <w:p w14:paraId="0E1F5BDA"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0.000</w:t>
            </w:r>
          </w:p>
        </w:tc>
        <w:tc>
          <w:tcPr>
            <w:tcW w:w="801" w:type="dxa"/>
            <w:tcBorders>
              <w:bottom w:val="single" w:sz="8" w:space="0" w:color="000000"/>
              <w:right w:val="single" w:sz="8" w:space="0" w:color="000000"/>
            </w:tcBorders>
            <w:tcMar>
              <w:top w:w="100" w:type="dxa"/>
              <w:left w:w="100" w:type="dxa"/>
              <w:bottom w:w="100" w:type="dxa"/>
              <w:right w:w="100" w:type="dxa"/>
            </w:tcMar>
          </w:tcPr>
          <w:p w14:paraId="64136B6C"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0.015</w:t>
            </w:r>
          </w:p>
        </w:tc>
        <w:tc>
          <w:tcPr>
            <w:tcW w:w="1136" w:type="dxa"/>
            <w:tcBorders>
              <w:bottom w:val="single" w:sz="8" w:space="0" w:color="000000"/>
              <w:right w:val="single" w:sz="8" w:space="0" w:color="000000"/>
            </w:tcBorders>
            <w:tcMar>
              <w:top w:w="100" w:type="dxa"/>
              <w:left w:w="100" w:type="dxa"/>
              <w:bottom w:w="100" w:type="dxa"/>
              <w:right w:w="100" w:type="dxa"/>
            </w:tcMar>
          </w:tcPr>
          <w:p w14:paraId="580CF509" w14:textId="77777777" w:rsidR="00EC7E61" w:rsidRDefault="00EC7E61" w:rsidP="0057655F">
            <w:pPr>
              <w:spacing w:line="240" w:lineRule="auto"/>
              <w:jc w:val="center"/>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-0.113;</w:t>
            </w:r>
            <w:proofErr w:type="gramEnd"/>
          </w:p>
          <w:p w14:paraId="04213C34"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-0.055 </w:t>
            </w:r>
          </w:p>
        </w:tc>
        <w:tc>
          <w:tcPr>
            <w:tcW w:w="1121" w:type="dxa"/>
            <w:tcBorders>
              <w:bottom w:val="single" w:sz="8" w:space="0" w:color="000000"/>
              <w:right w:val="single" w:sz="8" w:space="0" w:color="000000"/>
            </w:tcBorders>
            <w:tcMar>
              <w:top w:w="100" w:type="dxa"/>
              <w:left w:w="100" w:type="dxa"/>
              <w:bottom w:w="100" w:type="dxa"/>
              <w:right w:w="100" w:type="dxa"/>
            </w:tcMar>
          </w:tcPr>
          <w:p w14:paraId="0A0F59E1"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-0.338; 0.171</w:t>
            </w:r>
          </w:p>
        </w:tc>
        <w:tc>
          <w:tcPr>
            <w:tcW w:w="1106" w:type="dxa"/>
            <w:tcBorders>
              <w:bottom w:val="single" w:sz="8" w:space="0" w:color="000000"/>
              <w:right w:val="single" w:sz="8" w:space="0" w:color="000000"/>
            </w:tcBorders>
            <w:tcMar>
              <w:top w:w="100" w:type="dxa"/>
              <w:left w:w="100" w:type="dxa"/>
              <w:bottom w:w="100" w:type="dxa"/>
              <w:right w:w="100" w:type="dxa"/>
            </w:tcMar>
          </w:tcPr>
          <w:p w14:paraId="09F7CF0E"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99.19%</w:t>
            </w:r>
          </w:p>
        </w:tc>
      </w:tr>
      <w:tr w:rsidR="00EC7E61" w14:paraId="7BF69D07" w14:textId="77777777" w:rsidTr="0057655F">
        <w:trPr>
          <w:trHeight w:val="555"/>
        </w:trPr>
        <w:tc>
          <w:tcPr>
            <w:tcW w:w="2710"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58C1F968" w14:textId="77777777" w:rsidR="00EC7E61" w:rsidRDefault="00EC7E61" w:rsidP="0057655F">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Performance Above Social Aspirations</w:t>
            </w:r>
          </w:p>
        </w:tc>
        <w:tc>
          <w:tcPr>
            <w:tcW w:w="801" w:type="dxa"/>
            <w:tcBorders>
              <w:bottom w:val="single" w:sz="8" w:space="0" w:color="000000"/>
              <w:right w:val="single" w:sz="8" w:space="0" w:color="000000"/>
            </w:tcBorders>
            <w:tcMar>
              <w:top w:w="100" w:type="dxa"/>
              <w:left w:w="100" w:type="dxa"/>
              <w:bottom w:w="100" w:type="dxa"/>
              <w:right w:w="100" w:type="dxa"/>
            </w:tcMar>
          </w:tcPr>
          <w:p w14:paraId="2489FCD4"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66</w:t>
            </w:r>
          </w:p>
        </w:tc>
        <w:tc>
          <w:tcPr>
            <w:tcW w:w="923" w:type="dxa"/>
            <w:tcBorders>
              <w:bottom w:val="single" w:sz="8" w:space="0" w:color="000000"/>
              <w:right w:val="single" w:sz="8" w:space="0" w:color="000000"/>
            </w:tcBorders>
            <w:tcMar>
              <w:top w:w="100" w:type="dxa"/>
              <w:left w:w="100" w:type="dxa"/>
              <w:bottom w:w="100" w:type="dxa"/>
              <w:right w:w="100" w:type="dxa"/>
            </w:tcMar>
          </w:tcPr>
          <w:p w14:paraId="5CB506AA"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0.007</w:t>
            </w:r>
          </w:p>
        </w:tc>
        <w:tc>
          <w:tcPr>
            <w:tcW w:w="742" w:type="dxa"/>
            <w:tcBorders>
              <w:bottom w:val="single" w:sz="8" w:space="0" w:color="000000"/>
              <w:right w:val="single" w:sz="8" w:space="0" w:color="000000"/>
            </w:tcBorders>
            <w:tcMar>
              <w:top w:w="100" w:type="dxa"/>
              <w:left w:w="100" w:type="dxa"/>
              <w:bottom w:w="100" w:type="dxa"/>
              <w:right w:w="100" w:type="dxa"/>
            </w:tcMar>
          </w:tcPr>
          <w:p w14:paraId="27CD83B2"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0.615</w:t>
            </w:r>
          </w:p>
        </w:tc>
        <w:tc>
          <w:tcPr>
            <w:tcW w:w="801" w:type="dxa"/>
            <w:tcBorders>
              <w:bottom w:val="single" w:sz="8" w:space="0" w:color="000000"/>
              <w:right w:val="single" w:sz="8" w:space="0" w:color="000000"/>
            </w:tcBorders>
            <w:tcMar>
              <w:top w:w="100" w:type="dxa"/>
              <w:left w:w="100" w:type="dxa"/>
              <w:bottom w:w="100" w:type="dxa"/>
              <w:right w:w="100" w:type="dxa"/>
            </w:tcMar>
          </w:tcPr>
          <w:p w14:paraId="124218A3"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0.013</w:t>
            </w:r>
          </w:p>
        </w:tc>
        <w:tc>
          <w:tcPr>
            <w:tcW w:w="1136" w:type="dxa"/>
            <w:tcBorders>
              <w:bottom w:val="single" w:sz="8" w:space="0" w:color="000000"/>
              <w:right w:val="single" w:sz="8" w:space="0" w:color="000000"/>
            </w:tcBorders>
            <w:tcMar>
              <w:top w:w="100" w:type="dxa"/>
              <w:left w:w="100" w:type="dxa"/>
              <w:bottom w:w="100" w:type="dxa"/>
              <w:right w:w="100" w:type="dxa"/>
            </w:tcMar>
          </w:tcPr>
          <w:p w14:paraId="0CB7D7F2"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-0.019; 0.033</w:t>
            </w:r>
          </w:p>
        </w:tc>
        <w:tc>
          <w:tcPr>
            <w:tcW w:w="1121" w:type="dxa"/>
            <w:tcBorders>
              <w:bottom w:val="single" w:sz="8" w:space="0" w:color="000000"/>
              <w:right w:val="single" w:sz="8" w:space="0" w:color="000000"/>
            </w:tcBorders>
            <w:tcMar>
              <w:top w:w="100" w:type="dxa"/>
              <w:left w:w="100" w:type="dxa"/>
              <w:bottom w:w="100" w:type="dxa"/>
              <w:right w:w="100" w:type="dxa"/>
            </w:tcMar>
          </w:tcPr>
          <w:p w14:paraId="03E41145"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-0.199; 0.212</w:t>
            </w:r>
          </w:p>
        </w:tc>
        <w:tc>
          <w:tcPr>
            <w:tcW w:w="1106" w:type="dxa"/>
            <w:tcBorders>
              <w:bottom w:val="single" w:sz="8" w:space="0" w:color="000000"/>
              <w:right w:val="single" w:sz="8" w:space="0" w:color="000000"/>
            </w:tcBorders>
            <w:tcMar>
              <w:top w:w="100" w:type="dxa"/>
              <w:left w:w="100" w:type="dxa"/>
              <w:bottom w:w="100" w:type="dxa"/>
              <w:right w:w="100" w:type="dxa"/>
            </w:tcMar>
          </w:tcPr>
          <w:p w14:paraId="5F7739F0"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98.78%</w:t>
            </w:r>
          </w:p>
        </w:tc>
      </w:tr>
    </w:tbl>
    <w:p w14:paraId="3EF30483" w14:textId="77777777" w:rsidR="00EC7E61" w:rsidRDefault="00EC7E61" w:rsidP="00EC7E61">
      <w:pPr>
        <w:spacing w:line="240" w:lineRule="auto"/>
        <w:rPr>
          <w:rFonts w:ascii="Times New Roman" w:eastAsia="Times New Roman" w:hAnsi="Times New Roman" w:cs="Times New Roman"/>
        </w:rPr>
      </w:pPr>
      <w:r>
        <w:rPr>
          <w:rFonts w:ascii="Times New Roman" w:eastAsia="Times New Roman" w:hAnsi="Times New Roman" w:cs="Times New Roman"/>
        </w:rPr>
        <w:t>Notes: Number of effect sizes (k), sample size weighted mean effect size (r) and its significance (p), the standard deviation of sample size weighted effect size (SE), 95% confidence interval around the mean sample size weighted mean effect size (CI 95%), 95% credibility interval around the mean sample size weighted mean effect size (Cr. I. 95%), ratio of between-study variance to total variance for each effect size (I</w:t>
      </w:r>
      <w:r>
        <w:rPr>
          <w:rFonts w:ascii="Times New Roman" w:eastAsia="Times New Roman" w:hAnsi="Times New Roman" w:cs="Times New Roman"/>
          <w:vertAlign w:val="superscript"/>
        </w:rPr>
        <w:t>2</w:t>
      </w:r>
      <w:r>
        <w:rPr>
          <w:rFonts w:ascii="Times New Roman" w:eastAsia="Times New Roman" w:hAnsi="Times New Roman" w:cs="Times New Roman"/>
        </w:rPr>
        <w:t>).</w:t>
      </w:r>
    </w:p>
    <w:p w14:paraId="33D8B8C4" w14:textId="77777777" w:rsidR="00EC7E61" w:rsidRDefault="00EC7E61">
      <w:pPr>
        <w:spacing w:line="480" w:lineRule="auto"/>
        <w:rPr>
          <w:rFonts w:ascii="Times New Roman" w:eastAsia="Times New Roman" w:hAnsi="Times New Roman" w:cs="Times New Roman"/>
          <w:sz w:val="24"/>
          <w:szCs w:val="24"/>
        </w:rPr>
      </w:pPr>
    </w:p>
    <w:p w14:paraId="315E5066" w14:textId="5D7723B7" w:rsidR="009C6479" w:rsidRDefault="009C6479" w:rsidP="009C6479">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Hypothesis 1a predicts that, as performance decreases further below self-assessment group aspirations, organizational responses increase. Our results show that the relationship between performance below self-assessment group aspirations and organizational responses is negative and significant (</w:t>
      </w:r>
      <w:r>
        <w:rPr>
          <w:rFonts w:ascii="Times New Roman" w:eastAsia="Times New Roman" w:hAnsi="Times New Roman" w:cs="Times New Roman"/>
          <w:i/>
          <w:sz w:val="24"/>
          <w:szCs w:val="24"/>
        </w:rPr>
        <w:t>r</w:t>
      </w:r>
      <w:r>
        <w:rPr>
          <w:rFonts w:ascii="Times New Roman" w:eastAsia="Times New Roman" w:hAnsi="Times New Roman" w:cs="Times New Roman"/>
          <w:sz w:val="24"/>
          <w:szCs w:val="24"/>
        </w:rPr>
        <w:t xml:space="preserve"> = -0.098, </w:t>
      </w:r>
      <w:r>
        <w:rPr>
          <w:rFonts w:ascii="Times New Roman" w:eastAsia="Times New Roman" w:hAnsi="Times New Roman" w:cs="Times New Roman"/>
          <w:i/>
          <w:sz w:val="24"/>
          <w:szCs w:val="24"/>
        </w:rPr>
        <w:t>p</w:t>
      </w:r>
      <w:r>
        <w:rPr>
          <w:rFonts w:ascii="Times New Roman" w:eastAsia="Times New Roman" w:hAnsi="Times New Roman" w:cs="Times New Roman"/>
          <w:sz w:val="24"/>
          <w:szCs w:val="24"/>
        </w:rPr>
        <w:t xml:space="preserve"> = 0.000)</w:t>
      </w:r>
      <w:r>
        <w:rPr>
          <w:rFonts w:ascii="Times New Roman" w:eastAsia="Times New Roman" w:hAnsi="Times New Roman" w:cs="Times New Roman"/>
          <w:sz w:val="24"/>
          <w:szCs w:val="24"/>
          <w:vertAlign w:val="superscript"/>
        </w:rPr>
        <w:t>7</w:t>
      </w:r>
      <w:r>
        <w:rPr>
          <w:rFonts w:ascii="Times New Roman" w:eastAsia="Times New Roman" w:hAnsi="Times New Roman" w:cs="Times New Roman"/>
          <w:sz w:val="24"/>
          <w:szCs w:val="24"/>
        </w:rPr>
        <w:t xml:space="preserve">, suggesting that a performance decrease is associated with increases in organizational responses. Therefore, </w:t>
      </w:r>
      <w:r>
        <w:rPr>
          <w:rFonts w:ascii="Times New Roman" w:eastAsia="Times New Roman" w:hAnsi="Times New Roman" w:cs="Times New Roman"/>
          <w:b/>
          <w:sz w:val="24"/>
          <w:szCs w:val="24"/>
        </w:rPr>
        <w:t>Hypothesis 1a is supported</w:t>
      </w:r>
      <w:r>
        <w:rPr>
          <w:rFonts w:ascii="Times New Roman" w:eastAsia="Times New Roman" w:hAnsi="Times New Roman" w:cs="Times New Roman"/>
          <w:sz w:val="24"/>
          <w:szCs w:val="24"/>
        </w:rPr>
        <w:t xml:space="preserve">. </w:t>
      </w:r>
    </w:p>
    <w:p w14:paraId="3EA20F74" w14:textId="61AFF7E0" w:rsidR="009C6479" w:rsidRDefault="00612C49" w:rsidP="00612C49">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Hypothesis 1b predicts that, as performance decreases further below self-improvement group aspirations, organizational responses increase. Our results suggest that the effect of performance below self-improvement groups on organizational responses is not significant (</w:t>
      </w:r>
      <w:r>
        <w:rPr>
          <w:rFonts w:ascii="Times New Roman" w:eastAsia="Times New Roman" w:hAnsi="Times New Roman" w:cs="Times New Roman"/>
          <w:i/>
          <w:sz w:val="24"/>
          <w:szCs w:val="24"/>
        </w:rPr>
        <w:t xml:space="preserve">p = </w:t>
      </w:r>
      <w:r>
        <w:rPr>
          <w:rFonts w:ascii="Times New Roman" w:eastAsia="Times New Roman" w:hAnsi="Times New Roman" w:cs="Times New Roman"/>
          <w:sz w:val="24"/>
          <w:szCs w:val="24"/>
        </w:rPr>
        <w:t xml:space="preserve">0.976). Therefore, </w:t>
      </w:r>
      <w:r>
        <w:rPr>
          <w:rFonts w:ascii="Times New Roman" w:eastAsia="Times New Roman" w:hAnsi="Times New Roman" w:cs="Times New Roman"/>
          <w:b/>
          <w:sz w:val="24"/>
          <w:szCs w:val="24"/>
        </w:rPr>
        <w:t>Hypothesis 1b</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is not supported</w:t>
      </w:r>
      <w:r>
        <w:rPr>
          <w:rStyle w:val="EndnoteReference"/>
          <w:rFonts w:ascii="Times New Roman" w:eastAsia="Times New Roman" w:hAnsi="Times New Roman" w:cs="Times New Roman"/>
          <w:b/>
          <w:sz w:val="24"/>
          <w:szCs w:val="24"/>
        </w:rPr>
        <w:endnoteReference w:id="5"/>
      </w:r>
      <w:r>
        <w:rPr>
          <w:rFonts w:ascii="Times New Roman" w:eastAsia="Times New Roman" w:hAnsi="Times New Roman" w:cs="Times New Roman"/>
          <w:sz w:val="24"/>
          <w:szCs w:val="24"/>
        </w:rPr>
        <w:t>.</w:t>
      </w:r>
    </w:p>
    <w:p w14:paraId="36C533ED" w14:textId="77777777" w:rsidR="00612C49" w:rsidRDefault="00612C49" w:rsidP="00612C49">
      <w:pPr>
        <w:spacing w:line="480" w:lineRule="auto"/>
        <w:ind w:firstLine="720"/>
        <w:rPr>
          <w:rFonts w:ascii="Times New Roman" w:eastAsia="Times New Roman" w:hAnsi="Times New Roman" w:cs="Times New Roman"/>
          <w:sz w:val="24"/>
          <w:szCs w:val="24"/>
        </w:rPr>
      </w:pPr>
    </w:p>
    <w:p w14:paraId="310CC0DA" w14:textId="77777777" w:rsidR="009C6479" w:rsidRDefault="009C6479" w:rsidP="009C6479">
      <w:pPr>
        <w:spacing w:line="480" w:lineRule="auto"/>
        <w:ind w:firstLine="720"/>
        <w:rPr>
          <w:rFonts w:ascii="Times New Roman" w:eastAsia="Times New Roman" w:hAnsi="Times New Roman" w:cs="Times New Roman"/>
          <w:sz w:val="24"/>
          <w:szCs w:val="24"/>
        </w:rPr>
      </w:pPr>
    </w:p>
    <w:p w14:paraId="6EC41F77" w14:textId="77777777" w:rsidR="00EC7E61" w:rsidRDefault="00EC7E61" w:rsidP="00EC7E61">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TABLE 3.</w:t>
      </w:r>
    </w:p>
    <w:p w14:paraId="74F80ED7" w14:textId="77777777" w:rsidR="00EC7E61" w:rsidRDefault="00EC7E61" w:rsidP="00EC7E61">
      <w:pPr>
        <w:spacing w:line="240" w:lineRule="auto"/>
        <w:jc w:val="center"/>
        <w:rPr>
          <w:rFonts w:ascii="Times New Roman" w:eastAsia="Times New Roman" w:hAnsi="Times New Roman" w:cs="Times New Roman"/>
          <w:b/>
          <w:sz w:val="24"/>
          <w:szCs w:val="24"/>
        </w:rPr>
      </w:pPr>
    </w:p>
    <w:p w14:paraId="6B5E3C9F" w14:textId="77777777" w:rsidR="00EC7E61" w:rsidRDefault="00EC7E61" w:rsidP="00EC7E61">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Effects of Performance Above and Below Aspirations, Differentiated for Social Reference </w:t>
      </w:r>
    </w:p>
    <w:p w14:paraId="19489CF8" w14:textId="77777777" w:rsidR="00EC7E61" w:rsidRDefault="00EC7E61" w:rsidP="00EC7E61">
      <w:pPr>
        <w:spacing w:line="240" w:lineRule="auto"/>
        <w:jc w:val="center"/>
        <w:rPr>
          <w:rFonts w:ascii="Times New Roman" w:eastAsia="Times New Roman" w:hAnsi="Times New Roman" w:cs="Times New Roman"/>
          <w:b/>
          <w:sz w:val="24"/>
          <w:szCs w:val="24"/>
        </w:rPr>
      </w:pPr>
    </w:p>
    <w:p w14:paraId="11BA9DA7" w14:textId="77777777" w:rsidR="00EC7E61" w:rsidRDefault="00EC7E61" w:rsidP="00EC7E61">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Groups</w:t>
      </w:r>
    </w:p>
    <w:p w14:paraId="3F3ED50D" w14:textId="77777777" w:rsidR="00EC7E61" w:rsidRDefault="00EC7E61" w:rsidP="00EC7E61">
      <w:pPr>
        <w:spacing w:line="240" w:lineRule="auto"/>
        <w:jc w:val="center"/>
        <w:rPr>
          <w:rFonts w:ascii="Times New Roman" w:eastAsia="Times New Roman" w:hAnsi="Times New Roman" w:cs="Times New Roman"/>
          <w:b/>
          <w:sz w:val="24"/>
          <w:szCs w:val="24"/>
        </w:rPr>
      </w:pPr>
    </w:p>
    <w:tbl>
      <w:tblPr>
        <w:tblW w:w="93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879"/>
        <w:gridCol w:w="2001"/>
        <w:gridCol w:w="646"/>
        <w:gridCol w:w="977"/>
        <w:gridCol w:w="902"/>
        <w:gridCol w:w="1024"/>
        <w:gridCol w:w="1039"/>
        <w:gridCol w:w="872"/>
      </w:tblGrid>
      <w:tr w:rsidR="00EC7E61" w14:paraId="492C7B84" w14:textId="77777777" w:rsidTr="0057655F">
        <w:trPr>
          <w:trHeight w:val="1020"/>
        </w:trPr>
        <w:tc>
          <w:tcPr>
            <w:tcW w:w="187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8803534" w14:textId="77777777" w:rsidR="00EC7E61" w:rsidRDefault="00EC7E61" w:rsidP="0057655F">
            <w:pPr>
              <w:spacing w:line="240" w:lineRule="auto"/>
              <w:jc w:val="center"/>
              <w:rPr>
                <w:rFonts w:ascii="Times New Roman" w:eastAsia="Times New Roman" w:hAnsi="Times New Roman" w:cs="Times New Roman"/>
                <w:b/>
                <w:i/>
                <w:sz w:val="24"/>
                <w:szCs w:val="24"/>
              </w:rPr>
            </w:pPr>
            <w:r>
              <w:rPr>
                <w:rFonts w:ascii="Times New Roman" w:eastAsia="Times New Roman" w:hAnsi="Times New Roman" w:cs="Times New Roman"/>
                <w:b/>
                <w:sz w:val="24"/>
                <w:szCs w:val="24"/>
              </w:rPr>
              <w:t xml:space="preserve"> </w:t>
            </w:r>
            <w:r>
              <w:rPr>
                <w:rFonts w:ascii="Times New Roman" w:eastAsia="Times New Roman" w:hAnsi="Times New Roman" w:cs="Times New Roman"/>
                <w:b/>
                <w:i/>
                <w:sz w:val="24"/>
                <w:szCs w:val="24"/>
              </w:rPr>
              <w:t>Criteria</w:t>
            </w:r>
          </w:p>
        </w:tc>
        <w:tc>
          <w:tcPr>
            <w:tcW w:w="2001"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1985F1CC" w14:textId="77777777" w:rsidR="00EC7E61" w:rsidRDefault="00EC7E61" w:rsidP="0057655F">
            <w:pPr>
              <w:spacing w:line="240" w:lineRule="auto"/>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Construction of Social Aspiration and Motivation</w:t>
            </w:r>
          </w:p>
        </w:tc>
        <w:tc>
          <w:tcPr>
            <w:tcW w:w="646"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4299D3C9" w14:textId="77777777" w:rsidR="00EC7E61" w:rsidRDefault="00EC7E61" w:rsidP="0057655F">
            <w:pPr>
              <w:spacing w:line="240" w:lineRule="auto"/>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k</w:t>
            </w:r>
          </w:p>
        </w:tc>
        <w:tc>
          <w:tcPr>
            <w:tcW w:w="977"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225E9419" w14:textId="77777777" w:rsidR="00EC7E61" w:rsidRDefault="00EC7E61" w:rsidP="0057655F">
            <w:pPr>
              <w:spacing w:line="240" w:lineRule="auto"/>
              <w:ind w:left="40"/>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r</w:t>
            </w:r>
          </w:p>
        </w:tc>
        <w:tc>
          <w:tcPr>
            <w:tcW w:w="902"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216440E6" w14:textId="77777777" w:rsidR="00EC7E61" w:rsidRDefault="00EC7E61" w:rsidP="0057655F">
            <w:pPr>
              <w:spacing w:line="240" w:lineRule="auto"/>
              <w:ind w:left="40"/>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p</w:t>
            </w:r>
          </w:p>
        </w:tc>
        <w:tc>
          <w:tcPr>
            <w:tcW w:w="1024"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1E1A8BC7" w14:textId="77777777" w:rsidR="00EC7E61" w:rsidRDefault="00EC7E61" w:rsidP="0057655F">
            <w:pPr>
              <w:spacing w:line="240" w:lineRule="auto"/>
              <w:ind w:right="40"/>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SE</w:t>
            </w:r>
          </w:p>
        </w:tc>
        <w:tc>
          <w:tcPr>
            <w:tcW w:w="1039"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7B710B0F" w14:textId="77777777" w:rsidR="00EC7E61" w:rsidRDefault="00EC7E61" w:rsidP="0057655F">
            <w:pPr>
              <w:spacing w:line="240" w:lineRule="auto"/>
              <w:ind w:right="20"/>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Z</w:t>
            </w:r>
          </w:p>
        </w:tc>
        <w:tc>
          <w:tcPr>
            <w:tcW w:w="872"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3AC24060" w14:textId="77777777" w:rsidR="00EC7E61" w:rsidRDefault="00EC7E61" w:rsidP="0057655F">
            <w:pPr>
              <w:spacing w:line="240" w:lineRule="auto"/>
              <w:ind w:right="-120"/>
              <w:jc w:val="center"/>
              <w:rPr>
                <w:rFonts w:ascii="Times New Roman" w:eastAsia="Times New Roman" w:hAnsi="Times New Roman" w:cs="Times New Roman"/>
                <w:b/>
                <w:i/>
                <w:sz w:val="24"/>
                <w:szCs w:val="24"/>
                <w:vertAlign w:val="subscript"/>
              </w:rPr>
            </w:pPr>
            <w:proofErr w:type="spellStart"/>
            <w:r>
              <w:rPr>
                <w:rFonts w:ascii="Times New Roman" w:eastAsia="Times New Roman" w:hAnsi="Times New Roman" w:cs="Times New Roman"/>
                <w:b/>
                <w:i/>
                <w:sz w:val="24"/>
                <w:szCs w:val="24"/>
              </w:rPr>
              <w:t>p</w:t>
            </w:r>
            <w:r>
              <w:rPr>
                <w:rFonts w:ascii="Times New Roman" w:eastAsia="Times New Roman" w:hAnsi="Times New Roman" w:cs="Times New Roman"/>
                <w:b/>
                <w:i/>
                <w:sz w:val="24"/>
                <w:szCs w:val="24"/>
                <w:vertAlign w:val="subscript"/>
              </w:rPr>
              <w:t>z</w:t>
            </w:r>
            <w:proofErr w:type="spellEnd"/>
          </w:p>
        </w:tc>
      </w:tr>
      <w:tr w:rsidR="00EC7E61" w14:paraId="154495BE" w14:textId="77777777" w:rsidTr="0057655F">
        <w:trPr>
          <w:trHeight w:val="480"/>
        </w:trPr>
        <w:tc>
          <w:tcPr>
            <w:tcW w:w="1879" w:type="dxa"/>
            <w:vMerge w:val="restart"/>
            <w:tcBorders>
              <w:left w:val="single" w:sz="8" w:space="0" w:color="000000"/>
              <w:bottom w:val="single" w:sz="8" w:space="0" w:color="000000"/>
              <w:right w:val="single" w:sz="8" w:space="0" w:color="000000"/>
            </w:tcBorders>
            <w:tcMar>
              <w:top w:w="100" w:type="dxa"/>
              <w:left w:w="100" w:type="dxa"/>
              <w:bottom w:w="100" w:type="dxa"/>
              <w:right w:w="100" w:type="dxa"/>
            </w:tcMar>
          </w:tcPr>
          <w:p w14:paraId="4A8B4C39"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CF7F54E"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Performance Below Social Aspiration</w:t>
            </w:r>
          </w:p>
        </w:tc>
        <w:tc>
          <w:tcPr>
            <w:tcW w:w="2001" w:type="dxa"/>
            <w:tcBorders>
              <w:bottom w:val="single" w:sz="8" w:space="0" w:color="000000"/>
              <w:right w:val="single" w:sz="8" w:space="0" w:color="000000"/>
            </w:tcBorders>
            <w:tcMar>
              <w:top w:w="100" w:type="dxa"/>
              <w:left w:w="100" w:type="dxa"/>
              <w:bottom w:w="100" w:type="dxa"/>
              <w:right w:w="100" w:type="dxa"/>
            </w:tcMar>
          </w:tcPr>
          <w:p w14:paraId="2F8A9FEE"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Baseline</w:t>
            </w:r>
          </w:p>
        </w:tc>
        <w:tc>
          <w:tcPr>
            <w:tcW w:w="646" w:type="dxa"/>
            <w:tcBorders>
              <w:bottom w:val="single" w:sz="8" w:space="0" w:color="000000"/>
              <w:right w:val="single" w:sz="8" w:space="0" w:color="000000"/>
            </w:tcBorders>
            <w:tcMar>
              <w:top w:w="100" w:type="dxa"/>
              <w:left w:w="100" w:type="dxa"/>
              <w:bottom w:w="100" w:type="dxa"/>
              <w:right w:w="100" w:type="dxa"/>
            </w:tcMar>
          </w:tcPr>
          <w:p w14:paraId="74264B32"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53</w:t>
            </w:r>
          </w:p>
        </w:tc>
        <w:tc>
          <w:tcPr>
            <w:tcW w:w="977" w:type="dxa"/>
            <w:tcBorders>
              <w:bottom w:val="single" w:sz="8" w:space="0" w:color="000000"/>
              <w:right w:val="single" w:sz="8" w:space="0" w:color="000000"/>
            </w:tcBorders>
            <w:tcMar>
              <w:top w:w="100" w:type="dxa"/>
              <w:left w:w="100" w:type="dxa"/>
              <w:bottom w:w="100" w:type="dxa"/>
              <w:right w:w="100" w:type="dxa"/>
            </w:tcMar>
          </w:tcPr>
          <w:p w14:paraId="7C1F9FEB" w14:textId="77777777" w:rsidR="00EC7E61" w:rsidRDefault="00EC7E61" w:rsidP="0057655F">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-0.087</w:t>
            </w:r>
          </w:p>
        </w:tc>
        <w:tc>
          <w:tcPr>
            <w:tcW w:w="902" w:type="dxa"/>
            <w:tcBorders>
              <w:bottom w:val="single" w:sz="8" w:space="0" w:color="000000"/>
              <w:right w:val="single" w:sz="8" w:space="0" w:color="000000"/>
            </w:tcBorders>
            <w:tcMar>
              <w:top w:w="100" w:type="dxa"/>
              <w:left w:w="100" w:type="dxa"/>
              <w:bottom w:w="100" w:type="dxa"/>
              <w:right w:w="100" w:type="dxa"/>
            </w:tcMar>
          </w:tcPr>
          <w:p w14:paraId="6446E3CB" w14:textId="77777777" w:rsidR="00EC7E61" w:rsidRDefault="00EC7E61" w:rsidP="0057655F">
            <w:pPr>
              <w:spacing w:line="240" w:lineRule="auto"/>
              <w:ind w:lef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0.000</w:t>
            </w:r>
          </w:p>
        </w:tc>
        <w:tc>
          <w:tcPr>
            <w:tcW w:w="1024" w:type="dxa"/>
            <w:tcBorders>
              <w:bottom w:val="single" w:sz="8" w:space="0" w:color="000000"/>
              <w:right w:val="single" w:sz="8" w:space="0" w:color="000000"/>
            </w:tcBorders>
            <w:tcMar>
              <w:top w:w="100" w:type="dxa"/>
              <w:left w:w="100" w:type="dxa"/>
              <w:bottom w:w="100" w:type="dxa"/>
              <w:right w:w="100" w:type="dxa"/>
            </w:tcMar>
          </w:tcPr>
          <w:p w14:paraId="0E9DD278" w14:textId="77777777" w:rsidR="00EC7E61" w:rsidRDefault="00EC7E61" w:rsidP="0057655F">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0.018</w:t>
            </w:r>
          </w:p>
        </w:tc>
        <w:tc>
          <w:tcPr>
            <w:tcW w:w="1039" w:type="dxa"/>
            <w:tcBorders>
              <w:bottom w:val="single" w:sz="8" w:space="0" w:color="000000"/>
              <w:right w:val="single" w:sz="8" w:space="0" w:color="000000"/>
            </w:tcBorders>
            <w:tcMar>
              <w:top w:w="100" w:type="dxa"/>
              <w:left w:w="100" w:type="dxa"/>
              <w:bottom w:w="100" w:type="dxa"/>
              <w:right w:w="100" w:type="dxa"/>
            </w:tcMar>
          </w:tcPr>
          <w:p w14:paraId="579FF266" w14:textId="77777777" w:rsidR="00EC7E61" w:rsidRDefault="00EC7E61" w:rsidP="0057655F">
            <w:pPr>
              <w:spacing w:line="240" w:lineRule="auto"/>
              <w:ind w:right="2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tc>
        <w:tc>
          <w:tcPr>
            <w:tcW w:w="872" w:type="dxa"/>
            <w:tcBorders>
              <w:bottom w:val="single" w:sz="8" w:space="0" w:color="000000"/>
              <w:right w:val="single" w:sz="8" w:space="0" w:color="000000"/>
            </w:tcBorders>
            <w:tcMar>
              <w:top w:w="100" w:type="dxa"/>
              <w:left w:w="100" w:type="dxa"/>
              <w:bottom w:w="100" w:type="dxa"/>
              <w:right w:w="100" w:type="dxa"/>
            </w:tcMar>
          </w:tcPr>
          <w:p w14:paraId="2E2324B9" w14:textId="77777777" w:rsidR="00EC7E61" w:rsidRDefault="00EC7E61" w:rsidP="0057655F">
            <w:pPr>
              <w:spacing w:line="240" w:lineRule="auto"/>
              <w:ind w:right="-12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tc>
      </w:tr>
      <w:tr w:rsidR="00EC7E61" w14:paraId="6DA3C011" w14:textId="77777777" w:rsidTr="0057655F">
        <w:trPr>
          <w:trHeight w:val="480"/>
        </w:trPr>
        <w:tc>
          <w:tcPr>
            <w:tcW w:w="1879" w:type="dxa"/>
            <w:vMerge/>
            <w:tcBorders>
              <w:left w:val="single" w:sz="8" w:space="0" w:color="000000"/>
              <w:bottom w:val="single" w:sz="8" w:space="0" w:color="000000"/>
              <w:right w:val="single" w:sz="8" w:space="0" w:color="000000"/>
            </w:tcBorders>
            <w:tcMar>
              <w:top w:w="100" w:type="dxa"/>
              <w:left w:w="100" w:type="dxa"/>
              <w:bottom w:w="100" w:type="dxa"/>
              <w:right w:w="100" w:type="dxa"/>
            </w:tcMar>
          </w:tcPr>
          <w:p w14:paraId="033146E9" w14:textId="77777777" w:rsidR="00EC7E61" w:rsidRDefault="00EC7E61" w:rsidP="0057655F">
            <w:pPr>
              <w:widowControl w:val="0"/>
              <w:pBdr>
                <w:top w:val="nil"/>
                <w:left w:val="nil"/>
                <w:bottom w:val="nil"/>
                <w:right w:val="nil"/>
                <w:between w:val="nil"/>
              </w:pBdr>
              <w:rPr>
                <w:rFonts w:ascii="Times New Roman" w:eastAsia="Times New Roman" w:hAnsi="Times New Roman" w:cs="Times New Roman"/>
                <w:b/>
                <w:sz w:val="24"/>
                <w:szCs w:val="24"/>
              </w:rPr>
            </w:pPr>
          </w:p>
        </w:tc>
        <w:tc>
          <w:tcPr>
            <w:tcW w:w="2001" w:type="dxa"/>
            <w:tcBorders>
              <w:bottom w:val="single" w:sz="8" w:space="0" w:color="000000"/>
              <w:right w:val="single" w:sz="8" w:space="0" w:color="000000"/>
            </w:tcBorders>
            <w:shd w:val="clear" w:color="auto" w:fill="auto"/>
            <w:tcMar>
              <w:top w:w="100" w:type="dxa"/>
              <w:left w:w="100" w:type="dxa"/>
              <w:bottom w:w="100" w:type="dxa"/>
              <w:right w:w="100" w:type="dxa"/>
            </w:tcMar>
          </w:tcPr>
          <w:p w14:paraId="147A048E"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Self-Assessment</w:t>
            </w:r>
          </w:p>
        </w:tc>
        <w:tc>
          <w:tcPr>
            <w:tcW w:w="646" w:type="dxa"/>
            <w:tcBorders>
              <w:bottom w:val="single" w:sz="8" w:space="0" w:color="000000"/>
              <w:right w:val="single" w:sz="8" w:space="0" w:color="000000"/>
            </w:tcBorders>
            <w:shd w:val="clear" w:color="auto" w:fill="auto"/>
            <w:tcMar>
              <w:top w:w="100" w:type="dxa"/>
              <w:left w:w="100" w:type="dxa"/>
              <w:bottom w:w="100" w:type="dxa"/>
              <w:right w:w="100" w:type="dxa"/>
            </w:tcMar>
          </w:tcPr>
          <w:p w14:paraId="280D8000"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w:t>
            </w:r>
          </w:p>
        </w:tc>
        <w:tc>
          <w:tcPr>
            <w:tcW w:w="977" w:type="dxa"/>
            <w:tcBorders>
              <w:bottom w:val="single" w:sz="8" w:space="0" w:color="000000"/>
              <w:right w:val="single" w:sz="8" w:space="0" w:color="000000"/>
            </w:tcBorders>
            <w:shd w:val="clear" w:color="auto" w:fill="auto"/>
            <w:tcMar>
              <w:top w:w="100" w:type="dxa"/>
              <w:left w:w="100" w:type="dxa"/>
              <w:bottom w:w="100" w:type="dxa"/>
              <w:right w:w="100" w:type="dxa"/>
            </w:tcMar>
          </w:tcPr>
          <w:p w14:paraId="28F44443" w14:textId="77777777" w:rsidR="00EC7E61" w:rsidRDefault="00EC7E61" w:rsidP="0057655F">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-0.098</w:t>
            </w:r>
          </w:p>
        </w:tc>
        <w:tc>
          <w:tcPr>
            <w:tcW w:w="902" w:type="dxa"/>
            <w:tcBorders>
              <w:bottom w:val="single" w:sz="8" w:space="0" w:color="000000"/>
              <w:right w:val="single" w:sz="8" w:space="0" w:color="000000"/>
            </w:tcBorders>
            <w:shd w:val="clear" w:color="auto" w:fill="auto"/>
            <w:tcMar>
              <w:top w:w="100" w:type="dxa"/>
              <w:left w:w="100" w:type="dxa"/>
              <w:bottom w:w="100" w:type="dxa"/>
              <w:right w:w="100" w:type="dxa"/>
            </w:tcMar>
          </w:tcPr>
          <w:p w14:paraId="3DEB8406" w14:textId="77777777" w:rsidR="00EC7E61" w:rsidRDefault="00EC7E61" w:rsidP="0057655F">
            <w:pPr>
              <w:spacing w:line="240" w:lineRule="auto"/>
              <w:ind w:lef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0.000</w:t>
            </w:r>
          </w:p>
        </w:tc>
        <w:tc>
          <w:tcPr>
            <w:tcW w:w="1024" w:type="dxa"/>
            <w:tcBorders>
              <w:bottom w:val="single" w:sz="8" w:space="0" w:color="000000"/>
              <w:right w:val="single" w:sz="8" w:space="0" w:color="000000"/>
            </w:tcBorders>
            <w:shd w:val="clear" w:color="auto" w:fill="auto"/>
            <w:tcMar>
              <w:top w:w="100" w:type="dxa"/>
              <w:left w:w="100" w:type="dxa"/>
              <w:bottom w:w="100" w:type="dxa"/>
              <w:right w:w="100" w:type="dxa"/>
            </w:tcMar>
          </w:tcPr>
          <w:p w14:paraId="0F34B12D" w14:textId="77777777" w:rsidR="00EC7E61" w:rsidRDefault="00EC7E61" w:rsidP="0057655F">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0.022</w:t>
            </w:r>
          </w:p>
        </w:tc>
        <w:tc>
          <w:tcPr>
            <w:tcW w:w="1039" w:type="dxa"/>
            <w:tcBorders>
              <w:bottom w:val="single" w:sz="8" w:space="0" w:color="000000"/>
              <w:right w:val="single" w:sz="8" w:space="0" w:color="000000"/>
            </w:tcBorders>
            <w:shd w:val="clear" w:color="auto" w:fill="auto"/>
            <w:tcMar>
              <w:top w:w="100" w:type="dxa"/>
              <w:left w:w="100" w:type="dxa"/>
              <w:bottom w:w="100" w:type="dxa"/>
              <w:right w:w="100" w:type="dxa"/>
            </w:tcMar>
          </w:tcPr>
          <w:p w14:paraId="737DBA66" w14:textId="77777777" w:rsidR="00EC7E61" w:rsidRDefault="00EC7E61" w:rsidP="0057655F">
            <w:pPr>
              <w:spacing w:line="240" w:lineRule="auto"/>
              <w:ind w:right="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0.396</w:t>
            </w:r>
          </w:p>
        </w:tc>
        <w:tc>
          <w:tcPr>
            <w:tcW w:w="872" w:type="dxa"/>
            <w:tcBorders>
              <w:bottom w:val="single" w:sz="8" w:space="0" w:color="000000"/>
              <w:right w:val="single" w:sz="8" w:space="0" w:color="000000"/>
            </w:tcBorders>
            <w:shd w:val="clear" w:color="auto" w:fill="auto"/>
            <w:tcMar>
              <w:top w:w="100" w:type="dxa"/>
              <w:left w:w="100" w:type="dxa"/>
              <w:bottom w:w="100" w:type="dxa"/>
              <w:right w:w="100" w:type="dxa"/>
            </w:tcMar>
          </w:tcPr>
          <w:p w14:paraId="3964DDF5" w14:textId="77777777" w:rsidR="00EC7E61" w:rsidRDefault="00EC7E61" w:rsidP="0057655F">
            <w:pPr>
              <w:spacing w:line="240" w:lineRule="auto"/>
              <w:ind w:right="-1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0.692</w:t>
            </w:r>
          </w:p>
        </w:tc>
      </w:tr>
      <w:tr w:rsidR="00EC7E61" w14:paraId="54E9AFAB" w14:textId="77777777" w:rsidTr="0057655F">
        <w:trPr>
          <w:trHeight w:val="480"/>
        </w:trPr>
        <w:tc>
          <w:tcPr>
            <w:tcW w:w="1879" w:type="dxa"/>
            <w:vMerge/>
            <w:tcBorders>
              <w:left w:val="single" w:sz="8" w:space="0" w:color="000000"/>
              <w:bottom w:val="single" w:sz="8" w:space="0" w:color="000000"/>
              <w:right w:val="single" w:sz="8" w:space="0" w:color="000000"/>
            </w:tcBorders>
            <w:tcMar>
              <w:top w:w="100" w:type="dxa"/>
              <w:left w:w="100" w:type="dxa"/>
              <w:bottom w:w="100" w:type="dxa"/>
              <w:right w:w="100" w:type="dxa"/>
            </w:tcMar>
          </w:tcPr>
          <w:p w14:paraId="3E0C31A1" w14:textId="77777777" w:rsidR="00EC7E61" w:rsidRDefault="00EC7E61" w:rsidP="0057655F">
            <w:pPr>
              <w:widowControl w:val="0"/>
              <w:pBdr>
                <w:top w:val="nil"/>
                <w:left w:val="nil"/>
                <w:bottom w:val="nil"/>
                <w:right w:val="nil"/>
                <w:between w:val="nil"/>
              </w:pBdr>
              <w:rPr>
                <w:rFonts w:ascii="Times New Roman" w:eastAsia="Times New Roman" w:hAnsi="Times New Roman" w:cs="Times New Roman"/>
                <w:sz w:val="24"/>
                <w:szCs w:val="24"/>
              </w:rPr>
            </w:pPr>
          </w:p>
        </w:tc>
        <w:tc>
          <w:tcPr>
            <w:tcW w:w="2001" w:type="dxa"/>
            <w:tcBorders>
              <w:bottom w:val="single" w:sz="8" w:space="0" w:color="000000"/>
              <w:right w:val="single" w:sz="8" w:space="0" w:color="000000"/>
            </w:tcBorders>
            <w:shd w:val="clear" w:color="auto" w:fill="auto"/>
            <w:tcMar>
              <w:top w:w="100" w:type="dxa"/>
              <w:left w:w="100" w:type="dxa"/>
              <w:bottom w:w="100" w:type="dxa"/>
              <w:right w:w="100" w:type="dxa"/>
            </w:tcMar>
          </w:tcPr>
          <w:p w14:paraId="74D8C53A"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Self-Improvement</w:t>
            </w:r>
          </w:p>
        </w:tc>
        <w:tc>
          <w:tcPr>
            <w:tcW w:w="646" w:type="dxa"/>
            <w:tcBorders>
              <w:bottom w:val="single" w:sz="8" w:space="0" w:color="000000"/>
              <w:right w:val="single" w:sz="8" w:space="0" w:color="000000"/>
            </w:tcBorders>
            <w:shd w:val="clear" w:color="auto" w:fill="auto"/>
            <w:tcMar>
              <w:top w:w="100" w:type="dxa"/>
              <w:left w:w="100" w:type="dxa"/>
              <w:bottom w:w="100" w:type="dxa"/>
              <w:right w:w="100" w:type="dxa"/>
            </w:tcMar>
          </w:tcPr>
          <w:p w14:paraId="3B1336CF"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w:t>
            </w:r>
          </w:p>
        </w:tc>
        <w:tc>
          <w:tcPr>
            <w:tcW w:w="977" w:type="dxa"/>
            <w:tcBorders>
              <w:bottom w:val="single" w:sz="8" w:space="0" w:color="000000"/>
              <w:right w:val="single" w:sz="8" w:space="0" w:color="000000"/>
            </w:tcBorders>
            <w:shd w:val="clear" w:color="auto" w:fill="auto"/>
            <w:tcMar>
              <w:top w:w="100" w:type="dxa"/>
              <w:left w:w="100" w:type="dxa"/>
              <w:bottom w:w="100" w:type="dxa"/>
              <w:right w:w="100" w:type="dxa"/>
            </w:tcMar>
          </w:tcPr>
          <w:p w14:paraId="6B2A7D09" w14:textId="77777777" w:rsidR="00EC7E61" w:rsidRDefault="00EC7E61" w:rsidP="0057655F">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-0.001</w:t>
            </w:r>
          </w:p>
        </w:tc>
        <w:tc>
          <w:tcPr>
            <w:tcW w:w="902" w:type="dxa"/>
            <w:tcBorders>
              <w:bottom w:val="single" w:sz="8" w:space="0" w:color="000000"/>
              <w:right w:val="single" w:sz="8" w:space="0" w:color="000000"/>
            </w:tcBorders>
            <w:shd w:val="clear" w:color="auto" w:fill="auto"/>
            <w:tcMar>
              <w:top w:w="100" w:type="dxa"/>
              <w:left w:w="100" w:type="dxa"/>
              <w:bottom w:w="100" w:type="dxa"/>
              <w:right w:w="100" w:type="dxa"/>
            </w:tcMar>
          </w:tcPr>
          <w:p w14:paraId="580BBA4E" w14:textId="77777777" w:rsidR="00EC7E61" w:rsidRDefault="00EC7E61" w:rsidP="0057655F">
            <w:pPr>
              <w:spacing w:line="240" w:lineRule="auto"/>
              <w:ind w:lef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0.976</w:t>
            </w:r>
          </w:p>
        </w:tc>
        <w:tc>
          <w:tcPr>
            <w:tcW w:w="1024" w:type="dxa"/>
            <w:tcBorders>
              <w:bottom w:val="single" w:sz="8" w:space="0" w:color="000000"/>
              <w:right w:val="single" w:sz="8" w:space="0" w:color="000000"/>
            </w:tcBorders>
            <w:shd w:val="clear" w:color="auto" w:fill="auto"/>
            <w:tcMar>
              <w:top w:w="100" w:type="dxa"/>
              <w:left w:w="100" w:type="dxa"/>
              <w:bottom w:w="100" w:type="dxa"/>
              <w:right w:w="100" w:type="dxa"/>
            </w:tcMar>
          </w:tcPr>
          <w:p w14:paraId="54F71BE0" w14:textId="77777777" w:rsidR="00EC7E61" w:rsidRDefault="00EC7E61" w:rsidP="0057655F">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0.054</w:t>
            </w:r>
          </w:p>
        </w:tc>
        <w:tc>
          <w:tcPr>
            <w:tcW w:w="1039" w:type="dxa"/>
            <w:tcBorders>
              <w:bottom w:val="single" w:sz="8" w:space="0" w:color="000000"/>
              <w:right w:val="single" w:sz="8" w:space="0" w:color="000000"/>
            </w:tcBorders>
            <w:shd w:val="clear" w:color="auto" w:fill="auto"/>
            <w:tcMar>
              <w:top w:w="100" w:type="dxa"/>
              <w:left w:w="100" w:type="dxa"/>
              <w:bottom w:w="100" w:type="dxa"/>
              <w:right w:w="100" w:type="dxa"/>
            </w:tcMar>
          </w:tcPr>
          <w:p w14:paraId="26F53C8A" w14:textId="77777777" w:rsidR="00EC7E61" w:rsidRDefault="00EC7E61" w:rsidP="0057655F">
            <w:pPr>
              <w:spacing w:line="240" w:lineRule="auto"/>
              <w:ind w:right="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-1.959</w:t>
            </w:r>
          </w:p>
        </w:tc>
        <w:tc>
          <w:tcPr>
            <w:tcW w:w="872" w:type="dxa"/>
            <w:tcBorders>
              <w:bottom w:val="single" w:sz="8" w:space="0" w:color="000000"/>
              <w:right w:val="single" w:sz="8" w:space="0" w:color="000000"/>
            </w:tcBorders>
            <w:shd w:val="clear" w:color="auto" w:fill="auto"/>
            <w:tcMar>
              <w:top w:w="100" w:type="dxa"/>
              <w:left w:w="100" w:type="dxa"/>
              <w:bottom w:w="100" w:type="dxa"/>
              <w:right w:w="100" w:type="dxa"/>
            </w:tcMar>
          </w:tcPr>
          <w:p w14:paraId="29203DA5" w14:textId="77777777" w:rsidR="00EC7E61" w:rsidRDefault="00EC7E61" w:rsidP="0057655F">
            <w:pPr>
              <w:spacing w:line="240" w:lineRule="auto"/>
              <w:ind w:right="-1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0.050</w:t>
            </w:r>
          </w:p>
        </w:tc>
      </w:tr>
      <w:tr w:rsidR="00EC7E61" w14:paraId="4522CABC" w14:textId="77777777" w:rsidTr="0057655F">
        <w:trPr>
          <w:trHeight w:val="480"/>
        </w:trPr>
        <w:tc>
          <w:tcPr>
            <w:tcW w:w="1879" w:type="dxa"/>
            <w:vMerge w:val="restart"/>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4050CF6"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70CF0B09"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Performance Above Social Aspiration</w:t>
            </w:r>
          </w:p>
          <w:p w14:paraId="51E75806"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2001" w:type="dxa"/>
            <w:tcBorders>
              <w:bottom w:val="single" w:sz="8" w:space="0" w:color="000000"/>
              <w:right w:val="single" w:sz="8" w:space="0" w:color="000000"/>
            </w:tcBorders>
            <w:shd w:val="clear" w:color="auto" w:fill="auto"/>
            <w:tcMar>
              <w:top w:w="100" w:type="dxa"/>
              <w:left w:w="100" w:type="dxa"/>
              <w:bottom w:w="100" w:type="dxa"/>
              <w:right w:w="100" w:type="dxa"/>
            </w:tcMar>
          </w:tcPr>
          <w:p w14:paraId="3328AC7B"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Baseline</w:t>
            </w:r>
          </w:p>
        </w:tc>
        <w:tc>
          <w:tcPr>
            <w:tcW w:w="646" w:type="dxa"/>
            <w:tcBorders>
              <w:bottom w:val="single" w:sz="8" w:space="0" w:color="000000"/>
              <w:right w:val="single" w:sz="8" w:space="0" w:color="000000"/>
            </w:tcBorders>
            <w:shd w:val="clear" w:color="auto" w:fill="auto"/>
            <w:tcMar>
              <w:top w:w="100" w:type="dxa"/>
              <w:left w:w="100" w:type="dxa"/>
              <w:bottom w:w="100" w:type="dxa"/>
              <w:right w:w="100" w:type="dxa"/>
            </w:tcMar>
          </w:tcPr>
          <w:p w14:paraId="3A6DBD68"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49</w:t>
            </w:r>
          </w:p>
        </w:tc>
        <w:tc>
          <w:tcPr>
            <w:tcW w:w="977" w:type="dxa"/>
            <w:tcBorders>
              <w:bottom w:val="single" w:sz="8" w:space="0" w:color="000000"/>
              <w:right w:val="single" w:sz="8" w:space="0" w:color="000000"/>
            </w:tcBorders>
            <w:shd w:val="clear" w:color="auto" w:fill="auto"/>
            <w:tcMar>
              <w:top w:w="100" w:type="dxa"/>
              <w:left w:w="100" w:type="dxa"/>
              <w:bottom w:w="100" w:type="dxa"/>
              <w:right w:w="100" w:type="dxa"/>
            </w:tcMar>
          </w:tcPr>
          <w:p w14:paraId="1F0806A4" w14:textId="77777777" w:rsidR="00EC7E61" w:rsidRDefault="00EC7E61" w:rsidP="0057655F">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0.014</w:t>
            </w:r>
          </w:p>
        </w:tc>
        <w:tc>
          <w:tcPr>
            <w:tcW w:w="902" w:type="dxa"/>
            <w:tcBorders>
              <w:bottom w:val="single" w:sz="8" w:space="0" w:color="000000"/>
              <w:right w:val="single" w:sz="8" w:space="0" w:color="000000"/>
            </w:tcBorders>
            <w:shd w:val="clear" w:color="auto" w:fill="auto"/>
            <w:tcMar>
              <w:top w:w="100" w:type="dxa"/>
              <w:left w:w="100" w:type="dxa"/>
              <w:bottom w:w="100" w:type="dxa"/>
              <w:right w:w="100" w:type="dxa"/>
            </w:tcMar>
          </w:tcPr>
          <w:p w14:paraId="11F37C7A" w14:textId="77777777" w:rsidR="00EC7E61" w:rsidRDefault="00EC7E61" w:rsidP="0057655F">
            <w:pPr>
              <w:spacing w:line="240" w:lineRule="auto"/>
              <w:ind w:lef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0.393</w:t>
            </w:r>
          </w:p>
        </w:tc>
        <w:tc>
          <w:tcPr>
            <w:tcW w:w="1024" w:type="dxa"/>
            <w:tcBorders>
              <w:bottom w:val="single" w:sz="8" w:space="0" w:color="000000"/>
              <w:right w:val="single" w:sz="8" w:space="0" w:color="000000"/>
            </w:tcBorders>
            <w:shd w:val="clear" w:color="auto" w:fill="auto"/>
            <w:tcMar>
              <w:top w:w="100" w:type="dxa"/>
              <w:left w:w="100" w:type="dxa"/>
              <w:bottom w:w="100" w:type="dxa"/>
              <w:right w:w="100" w:type="dxa"/>
            </w:tcMar>
          </w:tcPr>
          <w:p w14:paraId="44FAFEF4" w14:textId="77777777" w:rsidR="00EC7E61" w:rsidRDefault="00EC7E61" w:rsidP="0057655F">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0.017</w:t>
            </w:r>
          </w:p>
        </w:tc>
        <w:tc>
          <w:tcPr>
            <w:tcW w:w="1039" w:type="dxa"/>
            <w:tcBorders>
              <w:bottom w:val="single" w:sz="8" w:space="0" w:color="000000"/>
              <w:right w:val="single" w:sz="8" w:space="0" w:color="000000"/>
            </w:tcBorders>
            <w:shd w:val="clear" w:color="auto" w:fill="auto"/>
            <w:tcMar>
              <w:top w:w="100" w:type="dxa"/>
              <w:left w:w="100" w:type="dxa"/>
              <w:bottom w:w="100" w:type="dxa"/>
              <w:right w:w="100" w:type="dxa"/>
            </w:tcMar>
          </w:tcPr>
          <w:p w14:paraId="6C13BE0A" w14:textId="77777777" w:rsidR="00EC7E61" w:rsidRDefault="00EC7E61" w:rsidP="0057655F">
            <w:pPr>
              <w:spacing w:line="240" w:lineRule="auto"/>
              <w:ind w:right="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872" w:type="dxa"/>
            <w:tcBorders>
              <w:bottom w:val="single" w:sz="8" w:space="0" w:color="000000"/>
              <w:right w:val="single" w:sz="8" w:space="0" w:color="000000"/>
            </w:tcBorders>
            <w:shd w:val="clear" w:color="auto" w:fill="auto"/>
            <w:tcMar>
              <w:top w:w="100" w:type="dxa"/>
              <w:left w:w="100" w:type="dxa"/>
              <w:bottom w:w="100" w:type="dxa"/>
              <w:right w:w="100" w:type="dxa"/>
            </w:tcMar>
          </w:tcPr>
          <w:p w14:paraId="4C6E78F2" w14:textId="77777777" w:rsidR="00EC7E61" w:rsidRDefault="00EC7E61" w:rsidP="0057655F">
            <w:pPr>
              <w:spacing w:line="240" w:lineRule="auto"/>
              <w:ind w:right="-1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r>
      <w:tr w:rsidR="00EC7E61" w14:paraId="640CB12D" w14:textId="77777777" w:rsidTr="0057655F">
        <w:trPr>
          <w:trHeight w:val="480"/>
        </w:trPr>
        <w:tc>
          <w:tcPr>
            <w:tcW w:w="1879" w:type="dxa"/>
            <w:vMerge/>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2C85A92" w14:textId="77777777" w:rsidR="00EC7E61" w:rsidRDefault="00EC7E61" w:rsidP="0057655F">
            <w:pPr>
              <w:widowControl w:val="0"/>
              <w:pBdr>
                <w:top w:val="nil"/>
                <w:left w:val="nil"/>
                <w:bottom w:val="nil"/>
                <w:right w:val="nil"/>
                <w:between w:val="nil"/>
              </w:pBdr>
              <w:rPr>
                <w:rFonts w:ascii="Times New Roman" w:eastAsia="Times New Roman" w:hAnsi="Times New Roman" w:cs="Times New Roman"/>
                <w:sz w:val="24"/>
                <w:szCs w:val="24"/>
              </w:rPr>
            </w:pPr>
          </w:p>
        </w:tc>
        <w:tc>
          <w:tcPr>
            <w:tcW w:w="2001" w:type="dxa"/>
            <w:tcBorders>
              <w:bottom w:val="single" w:sz="8" w:space="0" w:color="000000"/>
              <w:right w:val="single" w:sz="8" w:space="0" w:color="000000"/>
            </w:tcBorders>
            <w:shd w:val="clear" w:color="auto" w:fill="auto"/>
            <w:tcMar>
              <w:top w:w="100" w:type="dxa"/>
              <w:left w:w="100" w:type="dxa"/>
              <w:bottom w:w="100" w:type="dxa"/>
              <w:right w:w="100" w:type="dxa"/>
            </w:tcMar>
          </w:tcPr>
          <w:p w14:paraId="3B478FCC"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Self-Assessment</w:t>
            </w:r>
          </w:p>
        </w:tc>
        <w:tc>
          <w:tcPr>
            <w:tcW w:w="646" w:type="dxa"/>
            <w:tcBorders>
              <w:bottom w:val="single" w:sz="8" w:space="0" w:color="000000"/>
              <w:right w:val="single" w:sz="8" w:space="0" w:color="000000"/>
            </w:tcBorders>
            <w:shd w:val="clear" w:color="auto" w:fill="auto"/>
            <w:tcMar>
              <w:top w:w="100" w:type="dxa"/>
              <w:left w:w="100" w:type="dxa"/>
              <w:bottom w:w="100" w:type="dxa"/>
              <w:right w:w="100" w:type="dxa"/>
            </w:tcMar>
          </w:tcPr>
          <w:p w14:paraId="43644925"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w:t>
            </w:r>
          </w:p>
        </w:tc>
        <w:tc>
          <w:tcPr>
            <w:tcW w:w="977" w:type="dxa"/>
            <w:tcBorders>
              <w:bottom w:val="single" w:sz="8" w:space="0" w:color="000000"/>
              <w:right w:val="single" w:sz="8" w:space="0" w:color="000000"/>
            </w:tcBorders>
            <w:shd w:val="clear" w:color="auto" w:fill="auto"/>
            <w:tcMar>
              <w:top w:w="100" w:type="dxa"/>
              <w:left w:w="100" w:type="dxa"/>
              <w:bottom w:w="100" w:type="dxa"/>
              <w:right w:w="100" w:type="dxa"/>
            </w:tcMar>
          </w:tcPr>
          <w:p w14:paraId="7956E794" w14:textId="77777777" w:rsidR="00EC7E61" w:rsidRDefault="00EC7E61" w:rsidP="0057655F">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-0.046</w:t>
            </w:r>
          </w:p>
        </w:tc>
        <w:tc>
          <w:tcPr>
            <w:tcW w:w="902" w:type="dxa"/>
            <w:tcBorders>
              <w:bottom w:val="single" w:sz="8" w:space="0" w:color="000000"/>
              <w:right w:val="single" w:sz="8" w:space="0" w:color="000000"/>
            </w:tcBorders>
            <w:shd w:val="clear" w:color="auto" w:fill="auto"/>
            <w:tcMar>
              <w:top w:w="100" w:type="dxa"/>
              <w:left w:w="100" w:type="dxa"/>
              <w:bottom w:w="100" w:type="dxa"/>
              <w:right w:w="100" w:type="dxa"/>
            </w:tcMar>
          </w:tcPr>
          <w:p w14:paraId="15FF227D" w14:textId="77777777" w:rsidR="00EC7E61" w:rsidRDefault="00EC7E61" w:rsidP="0057655F">
            <w:pPr>
              <w:spacing w:line="240" w:lineRule="auto"/>
              <w:ind w:lef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0.012</w:t>
            </w:r>
          </w:p>
        </w:tc>
        <w:tc>
          <w:tcPr>
            <w:tcW w:w="1024" w:type="dxa"/>
            <w:tcBorders>
              <w:bottom w:val="single" w:sz="8" w:space="0" w:color="000000"/>
              <w:right w:val="single" w:sz="8" w:space="0" w:color="000000"/>
            </w:tcBorders>
            <w:shd w:val="clear" w:color="auto" w:fill="auto"/>
            <w:tcMar>
              <w:top w:w="100" w:type="dxa"/>
              <w:left w:w="100" w:type="dxa"/>
              <w:bottom w:w="100" w:type="dxa"/>
              <w:right w:w="100" w:type="dxa"/>
            </w:tcMar>
          </w:tcPr>
          <w:p w14:paraId="77DAC37D" w14:textId="77777777" w:rsidR="00EC7E61" w:rsidRDefault="00EC7E61" w:rsidP="0057655F">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0.018</w:t>
            </w:r>
          </w:p>
        </w:tc>
        <w:tc>
          <w:tcPr>
            <w:tcW w:w="1039" w:type="dxa"/>
            <w:tcBorders>
              <w:bottom w:val="single" w:sz="8" w:space="0" w:color="000000"/>
              <w:right w:val="single" w:sz="8" w:space="0" w:color="000000"/>
            </w:tcBorders>
            <w:shd w:val="clear" w:color="auto" w:fill="auto"/>
            <w:tcMar>
              <w:top w:w="100" w:type="dxa"/>
              <w:left w:w="100" w:type="dxa"/>
              <w:bottom w:w="100" w:type="dxa"/>
              <w:right w:w="100" w:type="dxa"/>
            </w:tcMar>
          </w:tcPr>
          <w:p w14:paraId="1E8A8773" w14:textId="77777777" w:rsidR="00EC7E61" w:rsidRDefault="00EC7E61" w:rsidP="0057655F">
            <w:pPr>
              <w:spacing w:line="240" w:lineRule="auto"/>
              <w:ind w:right="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1.663</w:t>
            </w:r>
          </w:p>
        </w:tc>
        <w:tc>
          <w:tcPr>
            <w:tcW w:w="872" w:type="dxa"/>
            <w:tcBorders>
              <w:bottom w:val="single" w:sz="8" w:space="0" w:color="000000"/>
              <w:right w:val="single" w:sz="8" w:space="0" w:color="000000"/>
            </w:tcBorders>
            <w:shd w:val="clear" w:color="auto" w:fill="auto"/>
            <w:tcMar>
              <w:top w:w="100" w:type="dxa"/>
              <w:left w:w="100" w:type="dxa"/>
              <w:bottom w:w="100" w:type="dxa"/>
              <w:right w:w="100" w:type="dxa"/>
            </w:tcMar>
          </w:tcPr>
          <w:p w14:paraId="437B1620" w14:textId="77777777" w:rsidR="00EC7E61" w:rsidRDefault="00EC7E61" w:rsidP="0057655F">
            <w:pPr>
              <w:spacing w:line="240" w:lineRule="auto"/>
              <w:ind w:right="-1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0.096</w:t>
            </w:r>
          </w:p>
        </w:tc>
      </w:tr>
      <w:tr w:rsidR="00EC7E61" w14:paraId="4D2148FC" w14:textId="77777777" w:rsidTr="0057655F">
        <w:trPr>
          <w:trHeight w:val="480"/>
        </w:trPr>
        <w:tc>
          <w:tcPr>
            <w:tcW w:w="1879" w:type="dxa"/>
            <w:vMerge/>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5F5E63C" w14:textId="77777777" w:rsidR="00EC7E61" w:rsidRDefault="00EC7E61" w:rsidP="0057655F">
            <w:pPr>
              <w:widowControl w:val="0"/>
              <w:pBdr>
                <w:top w:val="nil"/>
                <w:left w:val="nil"/>
                <w:bottom w:val="nil"/>
                <w:right w:val="nil"/>
                <w:between w:val="nil"/>
              </w:pBdr>
              <w:rPr>
                <w:rFonts w:ascii="Times New Roman" w:eastAsia="Times New Roman" w:hAnsi="Times New Roman" w:cs="Times New Roman"/>
                <w:sz w:val="24"/>
                <w:szCs w:val="24"/>
              </w:rPr>
            </w:pPr>
          </w:p>
        </w:tc>
        <w:tc>
          <w:tcPr>
            <w:tcW w:w="2001" w:type="dxa"/>
            <w:tcBorders>
              <w:bottom w:val="single" w:sz="8" w:space="0" w:color="000000"/>
              <w:right w:val="single" w:sz="8" w:space="0" w:color="000000"/>
            </w:tcBorders>
            <w:shd w:val="clear" w:color="auto" w:fill="auto"/>
            <w:tcMar>
              <w:top w:w="100" w:type="dxa"/>
              <w:left w:w="100" w:type="dxa"/>
              <w:bottom w:w="100" w:type="dxa"/>
              <w:right w:w="100" w:type="dxa"/>
            </w:tcMar>
          </w:tcPr>
          <w:p w14:paraId="558E724C"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Self-Improvement</w:t>
            </w:r>
          </w:p>
        </w:tc>
        <w:tc>
          <w:tcPr>
            <w:tcW w:w="646" w:type="dxa"/>
            <w:tcBorders>
              <w:bottom w:val="single" w:sz="8" w:space="0" w:color="000000"/>
              <w:right w:val="single" w:sz="8" w:space="0" w:color="000000"/>
            </w:tcBorders>
            <w:shd w:val="clear" w:color="auto" w:fill="auto"/>
            <w:tcMar>
              <w:top w:w="100" w:type="dxa"/>
              <w:left w:w="100" w:type="dxa"/>
              <w:bottom w:w="100" w:type="dxa"/>
              <w:right w:w="100" w:type="dxa"/>
            </w:tcMar>
          </w:tcPr>
          <w:p w14:paraId="54C3BA08" w14:textId="77777777" w:rsidR="00EC7E61" w:rsidRDefault="00EC7E61" w:rsidP="0057655F">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977" w:type="dxa"/>
            <w:tcBorders>
              <w:bottom w:val="single" w:sz="8" w:space="0" w:color="000000"/>
              <w:right w:val="single" w:sz="8" w:space="0" w:color="000000"/>
            </w:tcBorders>
            <w:shd w:val="clear" w:color="auto" w:fill="auto"/>
            <w:tcMar>
              <w:top w:w="100" w:type="dxa"/>
              <w:left w:w="100" w:type="dxa"/>
              <w:bottom w:w="100" w:type="dxa"/>
              <w:right w:w="100" w:type="dxa"/>
            </w:tcMar>
          </w:tcPr>
          <w:p w14:paraId="73C49860" w14:textId="77777777" w:rsidR="00EC7E61" w:rsidRDefault="00EC7E61" w:rsidP="0057655F">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0.104</w:t>
            </w:r>
          </w:p>
        </w:tc>
        <w:tc>
          <w:tcPr>
            <w:tcW w:w="902" w:type="dxa"/>
            <w:tcBorders>
              <w:bottom w:val="single" w:sz="8" w:space="0" w:color="000000"/>
              <w:right w:val="single" w:sz="8" w:space="0" w:color="000000"/>
            </w:tcBorders>
            <w:shd w:val="clear" w:color="auto" w:fill="auto"/>
            <w:tcMar>
              <w:top w:w="100" w:type="dxa"/>
              <w:left w:w="100" w:type="dxa"/>
              <w:bottom w:w="100" w:type="dxa"/>
              <w:right w:w="100" w:type="dxa"/>
            </w:tcMar>
          </w:tcPr>
          <w:p w14:paraId="5816820D" w14:textId="77777777" w:rsidR="00EC7E61" w:rsidRDefault="00EC7E61" w:rsidP="0057655F">
            <w:pPr>
              <w:spacing w:line="240" w:lineRule="auto"/>
              <w:ind w:lef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0.056</w:t>
            </w:r>
          </w:p>
        </w:tc>
        <w:tc>
          <w:tcPr>
            <w:tcW w:w="1024" w:type="dxa"/>
            <w:tcBorders>
              <w:bottom w:val="single" w:sz="8" w:space="0" w:color="000000"/>
              <w:right w:val="single" w:sz="8" w:space="0" w:color="000000"/>
            </w:tcBorders>
            <w:shd w:val="clear" w:color="auto" w:fill="auto"/>
            <w:tcMar>
              <w:top w:w="100" w:type="dxa"/>
              <w:left w:w="100" w:type="dxa"/>
              <w:bottom w:w="100" w:type="dxa"/>
              <w:right w:w="100" w:type="dxa"/>
            </w:tcMar>
          </w:tcPr>
          <w:p w14:paraId="72880B34" w14:textId="77777777" w:rsidR="00EC7E61" w:rsidRDefault="00EC7E61" w:rsidP="0057655F">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0.054</w:t>
            </w:r>
          </w:p>
        </w:tc>
        <w:tc>
          <w:tcPr>
            <w:tcW w:w="1039" w:type="dxa"/>
            <w:tcBorders>
              <w:bottom w:val="single" w:sz="8" w:space="0" w:color="000000"/>
              <w:right w:val="single" w:sz="8" w:space="0" w:color="000000"/>
            </w:tcBorders>
            <w:shd w:val="clear" w:color="auto" w:fill="auto"/>
            <w:tcMar>
              <w:top w:w="100" w:type="dxa"/>
              <w:left w:w="100" w:type="dxa"/>
              <w:bottom w:w="100" w:type="dxa"/>
              <w:right w:w="100" w:type="dxa"/>
            </w:tcMar>
          </w:tcPr>
          <w:p w14:paraId="6822CBF7" w14:textId="77777777" w:rsidR="00EC7E61" w:rsidRDefault="00EC7E61" w:rsidP="0057655F">
            <w:pPr>
              <w:spacing w:line="240" w:lineRule="auto"/>
              <w:ind w:right="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-2.263</w:t>
            </w:r>
          </w:p>
        </w:tc>
        <w:tc>
          <w:tcPr>
            <w:tcW w:w="872" w:type="dxa"/>
            <w:tcBorders>
              <w:bottom w:val="single" w:sz="8" w:space="0" w:color="000000"/>
              <w:right w:val="single" w:sz="8" w:space="0" w:color="000000"/>
            </w:tcBorders>
            <w:shd w:val="clear" w:color="auto" w:fill="auto"/>
            <w:tcMar>
              <w:top w:w="100" w:type="dxa"/>
              <w:left w:w="100" w:type="dxa"/>
              <w:bottom w:w="100" w:type="dxa"/>
              <w:right w:w="100" w:type="dxa"/>
            </w:tcMar>
          </w:tcPr>
          <w:p w14:paraId="19F7A929" w14:textId="77777777" w:rsidR="00EC7E61" w:rsidRDefault="00EC7E61" w:rsidP="0057655F">
            <w:pPr>
              <w:spacing w:line="240" w:lineRule="auto"/>
              <w:ind w:right="-12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0.024</w:t>
            </w:r>
          </w:p>
        </w:tc>
      </w:tr>
    </w:tbl>
    <w:p w14:paraId="10F9C324" w14:textId="77777777" w:rsidR="00EC7E61" w:rsidRDefault="00EC7E61" w:rsidP="00EC7E61">
      <w:pPr>
        <w:spacing w:line="240" w:lineRule="auto"/>
        <w:rPr>
          <w:rFonts w:ascii="Times New Roman" w:eastAsia="Times New Roman" w:hAnsi="Times New Roman" w:cs="Times New Roman"/>
        </w:rPr>
      </w:pPr>
      <w:r>
        <w:rPr>
          <w:rFonts w:ascii="Times New Roman" w:eastAsia="Times New Roman" w:hAnsi="Times New Roman" w:cs="Times New Roman"/>
        </w:rPr>
        <w:t>Notes: Number of effect sizes (k), sample size weighted mean effect size (r) and its significance (p), the standard deviation of sample size weighted mean effect size (SE) and Z-statistic (</w:t>
      </w:r>
      <w:r>
        <w:rPr>
          <w:rFonts w:ascii="Times New Roman" w:eastAsia="Times New Roman" w:hAnsi="Times New Roman" w:cs="Times New Roman"/>
          <w:i/>
        </w:rPr>
        <w:t>Z</w:t>
      </w:r>
      <w:r>
        <w:rPr>
          <w:rFonts w:ascii="Times New Roman" w:eastAsia="Times New Roman" w:hAnsi="Times New Roman" w:cs="Times New Roman"/>
        </w:rPr>
        <w:t xml:space="preserve">) for the critical ratio that indicates whether the subgroups are significantly different. </w:t>
      </w:r>
    </w:p>
    <w:p w14:paraId="1AFF5FDC" w14:textId="287A307E" w:rsidR="00EC7E61" w:rsidRDefault="00EC7E61" w:rsidP="009C6479">
      <w:pPr>
        <w:spacing w:line="480" w:lineRule="auto"/>
        <w:rPr>
          <w:rFonts w:ascii="Times New Roman" w:eastAsia="Times New Roman" w:hAnsi="Times New Roman" w:cs="Times New Roman"/>
          <w:sz w:val="24"/>
          <w:szCs w:val="24"/>
        </w:rPr>
      </w:pPr>
    </w:p>
    <w:p w14:paraId="42548B49" w14:textId="6A37A529"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Hypothesis 1c predicts a stronger effect on organizational responses for performance below self-assessment group aspirations, compared to performance below self-improvement group aspirations. The effect size difference between performance below self-assessment group aspirations and performance below self-improvement group aspirations is significant and meaningful (</w:t>
      </w:r>
      <w:proofErr w:type="spellStart"/>
      <w:r>
        <w:rPr>
          <w:rFonts w:ascii="Times New Roman" w:eastAsia="Times New Roman" w:hAnsi="Times New Roman" w:cs="Times New Roman"/>
          <w:sz w:val="24"/>
          <w:szCs w:val="24"/>
        </w:rPr>
        <w:t>Δ</w:t>
      </w:r>
      <w:r>
        <w:rPr>
          <w:rFonts w:ascii="Times New Roman" w:eastAsia="Times New Roman" w:hAnsi="Times New Roman" w:cs="Times New Roman"/>
          <w:i/>
          <w:sz w:val="24"/>
          <w:szCs w:val="24"/>
        </w:rPr>
        <w:t>r</w:t>
      </w:r>
      <w:proofErr w:type="spellEnd"/>
      <w:r>
        <w:rPr>
          <w:rFonts w:ascii="Times New Roman" w:eastAsia="Times New Roman" w:hAnsi="Times New Roman" w:cs="Times New Roman"/>
          <w:sz w:val="24"/>
          <w:szCs w:val="24"/>
        </w:rPr>
        <w:t xml:space="preserve"> = -0.097, </w:t>
      </w:r>
      <w:r>
        <w:rPr>
          <w:rFonts w:ascii="Times New Roman" w:eastAsia="Times New Roman" w:hAnsi="Times New Roman" w:cs="Times New Roman"/>
          <w:i/>
          <w:sz w:val="24"/>
          <w:szCs w:val="24"/>
        </w:rPr>
        <w:t>Z</w:t>
      </w:r>
      <w:r>
        <w:rPr>
          <w:rFonts w:ascii="Times New Roman" w:eastAsia="Times New Roman" w:hAnsi="Times New Roman" w:cs="Times New Roman"/>
          <w:sz w:val="24"/>
          <w:szCs w:val="24"/>
        </w:rPr>
        <w:t xml:space="preserve"> = -1.959, </w:t>
      </w:r>
      <w:proofErr w:type="spellStart"/>
      <w:r>
        <w:rPr>
          <w:rFonts w:ascii="Times New Roman" w:eastAsia="Times New Roman" w:hAnsi="Times New Roman" w:cs="Times New Roman"/>
          <w:i/>
          <w:sz w:val="24"/>
          <w:szCs w:val="24"/>
        </w:rPr>
        <w:t>pz</w:t>
      </w:r>
      <w:proofErr w:type="spellEnd"/>
      <w:r>
        <w:rPr>
          <w:rFonts w:ascii="Times New Roman" w:eastAsia="Times New Roman" w:hAnsi="Times New Roman" w:cs="Times New Roman"/>
          <w:sz w:val="24"/>
          <w:szCs w:val="24"/>
        </w:rPr>
        <w:t xml:space="preserve"> = 0.050). Therefore, </w:t>
      </w:r>
      <w:r>
        <w:rPr>
          <w:rFonts w:ascii="Times New Roman" w:eastAsia="Times New Roman" w:hAnsi="Times New Roman" w:cs="Times New Roman"/>
          <w:b/>
          <w:sz w:val="24"/>
          <w:szCs w:val="24"/>
        </w:rPr>
        <w:t>Hypothesis 1c is supported</w:t>
      </w:r>
      <w:r>
        <w:rPr>
          <w:rFonts w:ascii="Times New Roman" w:eastAsia="Times New Roman" w:hAnsi="Times New Roman" w:cs="Times New Roman"/>
          <w:sz w:val="24"/>
          <w:szCs w:val="24"/>
        </w:rPr>
        <w:t>.</w:t>
      </w:r>
    </w:p>
    <w:p w14:paraId="40703820" w14:textId="77777777"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Hypothesis 2a predicts that, as performance increases further above self-assessment group aspirations, organizational responses decrease. Our results show that the relationship between performance above self-assessment groups and organizational responses is negative and </w:t>
      </w:r>
      <w:r>
        <w:rPr>
          <w:rFonts w:ascii="Times New Roman" w:eastAsia="Times New Roman" w:hAnsi="Times New Roman" w:cs="Times New Roman"/>
          <w:sz w:val="24"/>
          <w:szCs w:val="24"/>
        </w:rPr>
        <w:lastRenderedPageBreak/>
        <w:t>significant (</w:t>
      </w:r>
      <w:r>
        <w:rPr>
          <w:rFonts w:ascii="Times New Roman" w:eastAsia="Times New Roman" w:hAnsi="Times New Roman" w:cs="Times New Roman"/>
          <w:i/>
          <w:sz w:val="24"/>
          <w:szCs w:val="24"/>
        </w:rPr>
        <w:t>r</w:t>
      </w:r>
      <w:r>
        <w:rPr>
          <w:rFonts w:ascii="Times New Roman" w:eastAsia="Times New Roman" w:hAnsi="Times New Roman" w:cs="Times New Roman"/>
          <w:sz w:val="24"/>
          <w:szCs w:val="24"/>
        </w:rPr>
        <w:t xml:space="preserve"> = -0.046, </w:t>
      </w:r>
      <w:r>
        <w:rPr>
          <w:rFonts w:ascii="Times New Roman" w:eastAsia="Times New Roman" w:hAnsi="Times New Roman" w:cs="Times New Roman"/>
          <w:i/>
          <w:sz w:val="24"/>
          <w:szCs w:val="24"/>
        </w:rPr>
        <w:t>p</w:t>
      </w:r>
      <w:r>
        <w:rPr>
          <w:rFonts w:ascii="Times New Roman" w:eastAsia="Times New Roman" w:hAnsi="Times New Roman" w:cs="Times New Roman"/>
          <w:sz w:val="24"/>
          <w:szCs w:val="24"/>
        </w:rPr>
        <w:t xml:space="preserve"> = 0.012), suggesting that performance increases above self-assessment group aspirations result in decreases in organizational responses. Therefore, </w:t>
      </w:r>
      <w:r>
        <w:rPr>
          <w:rFonts w:ascii="Times New Roman" w:eastAsia="Times New Roman" w:hAnsi="Times New Roman" w:cs="Times New Roman"/>
          <w:b/>
          <w:sz w:val="24"/>
          <w:szCs w:val="24"/>
        </w:rPr>
        <w:t>Hypothesis 2a is supported.</w:t>
      </w:r>
      <w:r>
        <w:rPr>
          <w:rFonts w:ascii="Times New Roman" w:eastAsia="Times New Roman" w:hAnsi="Times New Roman" w:cs="Times New Roman"/>
          <w:sz w:val="24"/>
          <w:szCs w:val="24"/>
        </w:rPr>
        <w:t xml:space="preserve"> </w:t>
      </w:r>
    </w:p>
    <w:p w14:paraId="2C25FDD7" w14:textId="77777777" w:rsidR="00750C42" w:rsidRDefault="00750C42">
      <w:pPr>
        <w:spacing w:line="480" w:lineRule="auto"/>
        <w:ind w:firstLine="720"/>
        <w:rPr>
          <w:rFonts w:ascii="Times New Roman" w:eastAsia="Times New Roman" w:hAnsi="Times New Roman" w:cs="Times New Roman"/>
          <w:b/>
          <w:sz w:val="24"/>
          <w:szCs w:val="24"/>
        </w:rPr>
      </w:pPr>
      <w:r>
        <w:rPr>
          <w:rFonts w:ascii="Times New Roman" w:eastAsia="Times New Roman" w:hAnsi="Times New Roman" w:cs="Times New Roman"/>
          <w:sz w:val="24"/>
          <w:szCs w:val="24"/>
        </w:rPr>
        <w:t>Hypothesis 2b predicts that, as performance increases further above self-improvement group aspirations, organizational responses increase. Our results show that the relationship between performance above self-improvement groups and organizational responses is positive and significant (</w:t>
      </w:r>
      <w:r>
        <w:rPr>
          <w:rFonts w:ascii="Times New Roman" w:eastAsia="Times New Roman" w:hAnsi="Times New Roman" w:cs="Times New Roman"/>
          <w:i/>
          <w:sz w:val="24"/>
          <w:szCs w:val="24"/>
        </w:rPr>
        <w:t>r</w:t>
      </w:r>
      <w:r>
        <w:rPr>
          <w:rFonts w:ascii="Times New Roman" w:eastAsia="Times New Roman" w:hAnsi="Times New Roman" w:cs="Times New Roman"/>
          <w:sz w:val="24"/>
          <w:szCs w:val="24"/>
        </w:rPr>
        <w:t xml:space="preserve"> = 0.104, </w:t>
      </w:r>
      <w:r>
        <w:rPr>
          <w:rFonts w:ascii="Times New Roman" w:eastAsia="Times New Roman" w:hAnsi="Times New Roman" w:cs="Times New Roman"/>
          <w:i/>
          <w:sz w:val="24"/>
          <w:szCs w:val="24"/>
        </w:rPr>
        <w:t>p</w:t>
      </w:r>
      <w:r>
        <w:rPr>
          <w:rFonts w:ascii="Times New Roman" w:eastAsia="Times New Roman" w:hAnsi="Times New Roman" w:cs="Times New Roman"/>
          <w:sz w:val="24"/>
          <w:szCs w:val="24"/>
        </w:rPr>
        <w:t xml:space="preserve"> = 0.056), suggesting that performance increases above self-improvement group aspirations result in increases in organizational responses. Therefore, </w:t>
      </w:r>
      <w:r>
        <w:rPr>
          <w:rFonts w:ascii="Times New Roman" w:eastAsia="Times New Roman" w:hAnsi="Times New Roman" w:cs="Times New Roman"/>
          <w:b/>
          <w:sz w:val="24"/>
          <w:szCs w:val="24"/>
        </w:rPr>
        <w:t>Hypothesis 2b is supported</w:t>
      </w:r>
      <w:r>
        <w:rPr>
          <w:rFonts w:ascii="Times New Roman" w:eastAsia="Times New Roman" w:hAnsi="Times New Roman" w:cs="Times New Roman"/>
          <w:sz w:val="24"/>
          <w:szCs w:val="24"/>
        </w:rPr>
        <w:t xml:space="preserve">. </w:t>
      </w:r>
    </w:p>
    <w:p w14:paraId="4887EF41" w14:textId="77777777" w:rsidR="00750C42" w:rsidRDefault="00750C42">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Results from Additional Analyses</w:t>
      </w:r>
    </w:p>
    <w:p w14:paraId="21F27BC3" w14:textId="793B5FCD" w:rsidR="00750C42" w:rsidRDefault="00750C42">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addition to our hypothesized relationships, we </w:t>
      </w:r>
      <w:r>
        <w:rPr>
          <w:rFonts w:ascii="Times New Roman" w:eastAsia="Times New Roman" w:hAnsi="Times New Roman" w:cs="Times New Roman"/>
          <w:b/>
          <w:sz w:val="24"/>
          <w:szCs w:val="24"/>
        </w:rPr>
        <w:t>tested for the differences in effect sizes of motive-based reference group aspirations, compared to baseline aspirations</w:t>
      </w:r>
      <w:r>
        <w:rPr>
          <w:rFonts w:ascii="Times New Roman" w:eastAsia="Times New Roman" w:hAnsi="Times New Roman" w:cs="Times New Roman"/>
          <w:sz w:val="24"/>
          <w:szCs w:val="24"/>
        </w:rPr>
        <w:t xml:space="preserve">. These results are presented at Table 3. </w:t>
      </w:r>
      <w:r w:rsidR="004869F4">
        <w:rPr>
          <w:rFonts w:ascii="Times New Roman" w:eastAsia="Times New Roman" w:hAnsi="Times New Roman" w:cs="Times New Roman"/>
          <w:sz w:val="24"/>
          <w:szCs w:val="24"/>
        </w:rPr>
        <w:t xml:space="preserve">These </w:t>
      </w:r>
      <w:r>
        <w:rPr>
          <w:rFonts w:ascii="Times New Roman" w:eastAsia="Times New Roman" w:hAnsi="Times New Roman" w:cs="Times New Roman"/>
          <w:sz w:val="24"/>
          <w:szCs w:val="24"/>
        </w:rPr>
        <w:t>results suggest that the effect of performance below self-assessment groups (</w:t>
      </w:r>
      <w:r>
        <w:rPr>
          <w:rFonts w:ascii="Times New Roman" w:eastAsia="Times New Roman" w:hAnsi="Times New Roman" w:cs="Times New Roman"/>
          <w:i/>
          <w:sz w:val="24"/>
          <w:szCs w:val="24"/>
        </w:rPr>
        <w:t>r</w:t>
      </w:r>
      <w:r>
        <w:rPr>
          <w:rFonts w:ascii="Times New Roman" w:eastAsia="Times New Roman" w:hAnsi="Times New Roman" w:cs="Times New Roman"/>
          <w:sz w:val="24"/>
          <w:szCs w:val="24"/>
        </w:rPr>
        <w:t xml:space="preserve"> = -0.098, </w:t>
      </w:r>
      <w:r>
        <w:rPr>
          <w:rFonts w:ascii="Times New Roman" w:eastAsia="Times New Roman" w:hAnsi="Times New Roman" w:cs="Times New Roman"/>
          <w:i/>
          <w:sz w:val="24"/>
          <w:szCs w:val="24"/>
        </w:rPr>
        <w:t>p</w:t>
      </w:r>
      <w:r>
        <w:rPr>
          <w:rFonts w:ascii="Times New Roman" w:eastAsia="Times New Roman" w:hAnsi="Times New Roman" w:cs="Times New Roman"/>
          <w:sz w:val="24"/>
          <w:szCs w:val="24"/>
        </w:rPr>
        <w:t xml:space="preserve"> = 0.000) is greater than the baseline effect (</w:t>
      </w:r>
      <w:r>
        <w:rPr>
          <w:rFonts w:ascii="Times New Roman" w:eastAsia="Times New Roman" w:hAnsi="Times New Roman" w:cs="Times New Roman"/>
          <w:i/>
          <w:sz w:val="24"/>
          <w:szCs w:val="24"/>
        </w:rPr>
        <w:t>r</w:t>
      </w:r>
      <w:r>
        <w:rPr>
          <w:rFonts w:ascii="Times New Roman" w:eastAsia="Times New Roman" w:hAnsi="Times New Roman" w:cs="Times New Roman"/>
          <w:sz w:val="24"/>
          <w:szCs w:val="24"/>
        </w:rPr>
        <w:t xml:space="preserve"> = -0.087, </w:t>
      </w:r>
      <w:r>
        <w:rPr>
          <w:rFonts w:ascii="Times New Roman" w:eastAsia="Times New Roman" w:hAnsi="Times New Roman" w:cs="Times New Roman"/>
          <w:i/>
          <w:sz w:val="24"/>
          <w:szCs w:val="24"/>
        </w:rPr>
        <w:t>p</w:t>
      </w:r>
      <w:r>
        <w:rPr>
          <w:rFonts w:ascii="Times New Roman" w:eastAsia="Times New Roman" w:hAnsi="Times New Roman" w:cs="Times New Roman"/>
          <w:sz w:val="24"/>
          <w:szCs w:val="24"/>
        </w:rPr>
        <w:t xml:space="preserve"> = 0.000). However, the difference between these two effects is not statistically significant (</w:t>
      </w:r>
      <w:r>
        <w:rPr>
          <w:rFonts w:ascii="Times New Roman" w:eastAsia="Times New Roman" w:hAnsi="Times New Roman" w:cs="Times New Roman"/>
          <w:i/>
          <w:sz w:val="24"/>
          <w:szCs w:val="24"/>
        </w:rPr>
        <w:t>p</w:t>
      </w:r>
      <w:r>
        <w:rPr>
          <w:rFonts w:ascii="Times New Roman" w:eastAsia="Times New Roman" w:hAnsi="Times New Roman" w:cs="Times New Roman"/>
          <w:sz w:val="24"/>
          <w:szCs w:val="24"/>
        </w:rPr>
        <w:t xml:space="preserve"> = 0.692).</w:t>
      </w:r>
      <w:r w:rsidR="00AF334D">
        <w:rPr>
          <w:rFonts w:ascii="Times New Roman" w:eastAsia="Times New Roman" w:hAnsi="Times New Roman" w:cs="Times New Roman"/>
          <w:sz w:val="24"/>
          <w:szCs w:val="24"/>
        </w:rPr>
        <w:t xml:space="preserve"> Our results also suggest that</w:t>
      </w:r>
      <w:r>
        <w:rPr>
          <w:rFonts w:ascii="Times New Roman" w:eastAsia="Times New Roman" w:hAnsi="Times New Roman" w:cs="Times New Roman"/>
          <w:sz w:val="24"/>
          <w:szCs w:val="24"/>
        </w:rPr>
        <w:t xml:space="preserve"> </w:t>
      </w:r>
      <w:r w:rsidR="00AF334D">
        <w:rPr>
          <w:rFonts w:ascii="Times New Roman" w:eastAsia="Times New Roman" w:hAnsi="Times New Roman" w:cs="Times New Roman"/>
          <w:sz w:val="24"/>
          <w:szCs w:val="24"/>
        </w:rPr>
        <w:t>t</w:t>
      </w:r>
      <w:r>
        <w:rPr>
          <w:rFonts w:ascii="Times New Roman" w:eastAsia="Times New Roman" w:hAnsi="Times New Roman" w:cs="Times New Roman"/>
          <w:sz w:val="24"/>
          <w:szCs w:val="24"/>
        </w:rPr>
        <w:t>he effect of performance above baseline aspirations is insignificant (</w:t>
      </w:r>
      <w:r>
        <w:rPr>
          <w:rFonts w:ascii="Times New Roman" w:eastAsia="Times New Roman" w:hAnsi="Times New Roman" w:cs="Times New Roman"/>
          <w:i/>
          <w:sz w:val="24"/>
          <w:szCs w:val="24"/>
        </w:rPr>
        <w:t>p</w:t>
      </w:r>
      <w:r>
        <w:rPr>
          <w:rFonts w:ascii="Times New Roman" w:eastAsia="Times New Roman" w:hAnsi="Times New Roman" w:cs="Times New Roman"/>
          <w:sz w:val="24"/>
          <w:szCs w:val="24"/>
        </w:rPr>
        <w:t xml:space="preserve"> = 0.393), while the effect of performance above self-assessment group aspirations is negative and significant (</w:t>
      </w:r>
      <w:r>
        <w:rPr>
          <w:rFonts w:ascii="Times New Roman" w:eastAsia="Times New Roman" w:hAnsi="Times New Roman" w:cs="Times New Roman"/>
          <w:i/>
          <w:sz w:val="24"/>
          <w:szCs w:val="24"/>
        </w:rPr>
        <w:t>r</w:t>
      </w:r>
      <w:r>
        <w:rPr>
          <w:rFonts w:ascii="Times New Roman" w:eastAsia="Times New Roman" w:hAnsi="Times New Roman" w:cs="Times New Roman"/>
          <w:sz w:val="24"/>
          <w:szCs w:val="24"/>
        </w:rPr>
        <w:t xml:space="preserve"> = -0.046, </w:t>
      </w:r>
      <w:r>
        <w:rPr>
          <w:rFonts w:ascii="Times New Roman" w:eastAsia="Times New Roman" w:hAnsi="Times New Roman" w:cs="Times New Roman"/>
          <w:i/>
          <w:sz w:val="24"/>
          <w:szCs w:val="24"/>
        </w:rPr>
        <w:t>p</w:t>
      </w:r>
      <w:r>
        <w:rPr>
          <w:rFonts w:ascii="Times New Roman" w:eastAsia="Times New Roman" w:hAnsi="Times New Roman" w:cs="Times New Roman"/>
          <w:sz w:val="24"/>
          <w:szCs w:val="24"/>
        </w:rPr>
        <w:t xml:space="preserve"> = 0.012). The difference between two effects is significant at 10% level and meaningful (</w:t>
      </w:r>
      <w:proofErr w:type="spellStart"/>
      <w:r>
        <w:rPr>
          <w:rFonts w:ascii="Times New Roman" w:eastAsia="Times New Roman" w:hAnsi="Times New Roman" w:cs="Times New Roman"/>
          <w:sz w:val="24"/>
          <w:szCs w:val="24"/>
        </w:rPr>
        <w:t>Δ</w:t>
      </w:r>
      <w:r>
        <w:rPr>
          <w:rFonts w:ascii="Times New Roman" w:eastAsia="Times New Roman" w:hAnsi="Times New Roman" w:cs="Times New Roman"/>
          <w:i/>
          <w:sz w:val="24"/>
          <w:szCs w:val="24"/>
        </w:rPr>
        <w:t>r</w:t>
      </w:r>
      <w:proofErr w:type="spellEnd"/>
      <w:r>
        <w:rPr>
          <w:rFonts w:ascii="Times New Roman" w:eastAsia="Times New Roman" w:hAnsi="Times New Roman" w:cs="Times New Roman"/>
          <w:sz w:val="24"/>
          <w:szCs w:val="24"/>
        </w:rPr>
        <w:t xml:space="preserve"> = 0.060, </w:t>
      </w:r>
      <w:r>
        <w:rPr>
          <w:rFonts w:ascii="Times New Roman" w:eastAsia="Times New Roman" w:hAnsi="Times New Roman" w:cs="Times New Roman"/>
          <w:i/>
          <w:sz w:val="24"/>
          <w:szCs w:val="24"/>
        </w:rPr>
        <w:t>Z</w:t>
      </w:r>
      <w:r>
        <w:rPr>
          <w:rFonts w:ascii="Times New Roman" w:eastAsia="Times New Roman" w:hAnsi="Times New Roman" w:cs="Times New Roman"/>
          <w:sz w:val="24"/>
          <w:szCs w:val="24"/>
        </w:rPr>
        <w:t xml:space="preserve"> = 1.663, </w:t>
      </w:r>
      <w:proofErr w:type="spellStart"/>
      <w:r>
        <w:rPr>
          <w:rFonts w:ascii="Times New Roman" w:eastAsia="Times New Roman" w:hAnsi="Times New Roman" w:cs="Times New Roman"/>
          <w:i/>
          <w:sz w:val="24"/>
          <w:szCs w:val="24"/>
        </w:rPr>
        <w:t>p</w:t>
      </w:r>
      <w:r>
        <w:rPr>
          <w:rFonts w:ascii="Times New Roman" w:eastAsia="Times New Roman" w:hAnsi="Times New Roman" w:cs="Times New Roman"/>
          <w:i/>
          <w:sz w:val="24"/>
          <w:szCs w:val="24"/>
          <w:vertAlign w:val="subscript"/>
        </w:rPr>
        <w:t>z</w:t>
      </w:r>
      <w:proofErr w:type="spellEnd"/>
      <w:r>
        <w:rPr>
          <w:rFonts w:ascii="Times New Roman" w:eastAsia="Times New Roman" w:hAnsi="Times New Roman" w:cs="Times New Roman"/>
          <w:sz w:val="24"/>
          <w:szCs w:val="24"/>
          <w:vertAlign w:val="subscript"/>
        </w:rPr>
        <w:t xml:space="preserve"> </w:t>
      </w:r>
      <w:r>
        <w:rPr>
          <w:rFonts w:ascii="Times New Roman" w:eastAsia="Times New Roman" w:hAnsi="Times New Roman" w:cs="Times New Roman"/>
          <w:sz w:val="24"/>
          <w:szCs w:val="24"/>
        </w:rPr>
        <w:t xml:space="preserve">= 0.096). </w:t>
      </w:r>
    </w:p>
    <w:p w14:paraId="6E82B7F0" w14:textId="5E0AA2BB"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the PFT discourse, the baseline reference group is a heterogeneous group in terms of performance distribution. However, </w:t>
      </w:r>
      <w:r>
        <w:rPr>
          <w:rFonts w:ascii="Times New Roman" w:eastAsia="Times New Roman" w:hAnsi="Times New Roman" w:cs="Times New Roman"/>
          <w:noProof/>
          <w:sz w:val="24"/>
          <w:szCs w:val="24"/>
        </w:rPr>
        <w:t>Festinger (1954)</w:t>
      </w:r>
      <w:r>
        <w:rPr>
          <w:rFonts w:ascii="Times New Roman" w:eastAsia="Times New Roman" w:hAnsi="Times New Roman" w:cs="Times New Roman"/>
          <w:sz w:val="24"/>
          <w:szCs w:val="24"/>
        </w:rPr>
        <w:t xml:space="preserve">’s “similarity hypothesis” suggests that performance assessments are more accurate when firms compare themselves to other similar firms. Therefore, rather than creating a sample of all firms within an industry as our baseline </w:t>
      </w:r>
      <w:r>
        <w:rPr>
          <w:rFonts w:ascii="Times New Roman" w:eastAsia="Times New Roman" w:hAnsi="Times New Roman" w:cs="Times New Roman"/>
          <w:sz w:val="24"/>
          <w:szCs w:val="24"/>
        </w:rPr>
        <w:lastRenderedPageBreak/>
        <w:t>reference groups, we created subsamples based on the sample-wide average standard deviations of performance below and above aspirations. We created subgroups of studies for low and high standard deviations</w:t>
      </w:r>
      <w:r w:rsidR="00AF334D">
        <w:rPr>
          <w:rFonts w:ascii="Times New Roman" w:eastAsia="Times New Roman" w:hAnsi="Times New Roman" w:cs="Times New Roman"/>
          <w:sz w:val="24"/>
          <w:szCs w:val="24"/>
        </w:rPr>
        <w:t xml:space="preserve"> of organizational </w:t>
      </w:r>
      <w:r w:rsidR="004869F4">
        <w:rPr>
          <w:rFonts w:ascii="Times New Roman" w:eastAsia="Times New Roman" w:hAnsi="Times New Roman" w:cs="Times New Roman"/>
          <w:sz w:val="24"/>
          <w:szCs w:val="24"/>
        </w:rPr>
        <w:t>performance and</w:t>
      </w:r>
      <w:r>
        <w:rPr>
          <w:rFonts w:ascii="Times New Roman" w:eastAsia="Times New Roman" w:hAnsi="Times New Roman" w:cs="Times New Roman"/>
          <w:sz w:val="24"/>
          <w:szCs w:val="24"/>
        </w:rPr>
        <w:t xml:space="preserve"> compared the differences between these effects. Overall, we find differences in effects for below, but no difference in effects for above. These results support Festinger’s “similarity hypothesis” (1954), showing the relevance of “similarity” for reference groups, which we hypothesized for self-assessment group aspirations</w:t>
      </w:r>
      <w:r>
        <w:rPr>
          <w:rStyle w:val="EndnoteReference"/>
          <w:rFonts w:ascii="Times New Roman" w:eastAsia="Times New Roman" w:hAnsi="Times New Roman" w:cs="Times New Roman"/>
          <w:sz w:val="24"/>
          <w:szCs w:val="24"/>
        </w:rPr>
        <w:endnoteReference w:id="6"/>
      </w:r>
      <w:r>
        <w:rPr>
          <w:rFonts w:ascii="Times New Roman" w:eastAsia="Times New Roman" w:hAnsi="Times New Roman" w:cs="Times New Roman"/>
          <w:sz w:val="24"/>
          <w:szCs w:val="24"/>
        </w:rPr>
        <w:t>.</w:t>
      </w:r>
    </w:p>
    <w:p w14:paraId="27D752B2" w14:textId="1773C2E5" w:rsidR="00750C42" w:rsidRDefault="00750C42">
      <w:pPr>
        <w:spacing w:line="480" w:lineRule="auto"/>
        <w:ind w:firstLine="720"/>
        <w:rPr>
          <w:rFonts w:ascii="Times New Roman" w:eastAsia="Times New Roman" w:hAnsi="Times New Roman" w:cs="Times New Roman"/>
          <w:sz w:val="24"/>
          <w:szCs w:val="24"/>
          <w:highlight w:val="yellow"/>
        </w:rPr>
      </w:pPr>
      <w:r>
        <w:rPr>
          <w:rFonts w:ascii="Times New Roman" w:eastAsia="Times New Roman" w:hAnsi="Times New Roman" w:cs="Times New Roman"/>
          <w:sz w:val="24"/>
          <w:szCs w:val="24"/>
        </w:rPr>
        <w:t xml:space="preserve">We also tested the </w:t>
      </w:r>
      <w:r>
        <w:rPr>
          <w:rFonts w:ascii="Times New Roman" w:eastAsia="Times New Roman" w:hAnsi="Times New Roman" w:cs="Times New Roman"/>
          <w:b/>
          <w:sz w:val="24"/>
          <w:szCs w:val="24"/>
        </w:rPr>
        <w:t>differences in effect sizes of motive-based reference group aspirations for</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different forms of organizational responses</w:t>
      </w:r>
      <w:r>
        <w:rPr>
          <w:rFonts w:ascii="Times New Roman" w:eastAsia="Times New Roman" w:hAnsi="Times New Roman" w:cs="Times New Roman"/>
          <w:sz w:val="24"/>
          <w:szCs w:val="24"/>
        </w:rPr>
        <w:t xml:space="preserve">. </w:t>
      </w:r>
      <w:r>
        <w:rPr>
          <w:rFonts w:ascii="Times New Roman" w:eastAsia="Times New Roman" w:hAnsi="Times New Roman" w:cs="Times New Roman"/>
          <w:noProof/>
          <w:sz w:val="24"/>
          <w:szCs w:val="24"/>
        </w:rPr>
        <w:t>Greve (2003b)</w:t>
      </w:r>
      <w:r>
        <w:rPr>
          <w:rFonts w:ascii="Times New Roman" w:eastAsia="Times New Roman" w:hAnsi="Times New Roman" w:cs="Times New Roman"/>
          <w:sz w:val="24"/>
          <w:szCs w:val="24"/>
        </w:rPr>
        <w:t xml:space="preserve"> identified five forms of organizational responses to performance feedback (i.e., strategic change, organizational risk taking, R&amp;D intensity, new product introductions, and growth and facility investments). Given our limited number of studies for different reference groups, we were able to run subgroup analyses that isolated the effects of strategic change from all other forms of organizational responses. Overall, the results for baseline and self-assessment show similar patterns for strategic change and other organizational responses</w:t>
      </w:r>
      <w:r w:rsidR="00EC7E61">
        <w:rPr>
          <w:rFonts w:ascii="Times New Roman" w:eastAsia="Times New Roman" w:hAnsi="Times New Roman" w:cs="Times New Roman"/>
          <w:sz w:val="24"/>
          <w:szCs w:val="24"/>
          <w:vertAlign w:val="superscript"/>
        </w:rPr>
        <w:t>5</w:t>
      </w:r>
      <w:r>
        <w:rPr>
          <w:rFonts w:ascii="Times New Roman" w:eastAsia="Times New Roman" w:hAnsi="Times New Roman" w:cs="Times New Roman"/>
          <w:sz w:val="24"/>
          <w:szCs w:val="24"/>
        </w:rPr>
        <w:t>.</w:t>
      </w:r>
    </w:p>
    <w:p w14:paraId="0A8C4EB5" w14:textId="77777777" w:rsidR="00750C42" w:rsidRDefault="00750C42">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Results of Post Hoc Analyses</w:t>
      </w:r>
    </w:p>
    <w:p w14:paraId="43B439A4" w14:textId="4B4CF346" w:rsidR="00750C42" w:rsidRDefault="00750C42">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To assess whether outliers might bias our results </w:t>
      </w:r>
      <w:r>
        <w:rPr>
          <w:rFonts w:ascii="Times New Roman" w:eastAsia="Times New Roman" w:hAnsi="Times New Roman" w:cs="Times New Roman"/>
          <w:noProof/>
          <w:sz w:val="24"/>
          <w:szCs w:val="24"/>
        </w:rPr>
        <w:t>(Aguinis et al., 2010b, Geyskens et al., 2008, Schmidt and Hunter, 2014)</w:t>
      </w:r>
      <w:r>
        <w:rPr>
          <w:rFonts w:ascii="Times New Roman" w:eastAsia="Times New Roman" w:hAnsi="Times New Roman" w:cs="Times New Roman"/>
          <w:sz w:val="24"/>
          <w:szCs w:val="24"/>
        </w:rPr>
        <w:t xml:space="preserve">, we performed an </w:t>
      </w:r>
      <w:r>
        <w:rPr>
          <w:rFonts w:ascii="Times New Roman" w:eastAsia="Times New Roman" w:hAnsi="Times New Roman" w:cs="Times New Roman"/>
          <w:b/>
          <w:sz w:val="24"/>
          <w:szCs w:val="24"/>
        </w:rPr>
        <w:t>outlier analysis</w:t>
      </w:r>
      <w:r>
        <w:rPr>
          <w:rFonts w:ascii="Times New Roman" w:eastAsia="Times New Roman" w:hAnsi="Times New Roman" w:cs="Times New Roman"/>
          <w:sz w:val="24"/>
          <w:szCs w:val="24"/>
        </w:rPr>
        <w:t xml:space="preserve">. Following </w:t>
      </w:r>
      <w:r w:rsidRPr="00130B94">
        <w:rPr>
          <w:rFonts w:ascii="Times New Roman" w:eastAsia="Times New Roman" w:hAnsi="Times New Roman" w:cs="Times New Roman"/>
          <w:noProof/>
          <w:sz w:val="24"/>
          <w:szCs w:val="24"/>
        </w:rPr>
        <w:t xml:space="preserve">Junni et al. </w:t>
      </w:r>
      <w:r>
        <w:rPr>
          <w:rFonts w:ascii="Times New Roman" w:eastAsia="Times New Roman" w:hAnsi="Times New Roman" w:cs="Times New Roman"/>
          <w:noProof/>
        </w:rPr>
        <w:t>(2013)</w:t>
      </w:r>
      <w:r>
        <w:rPr>
          <w:rFonts w:ascii="Times New Roman" w:eastAsia="Times New Roman" w:hAnsi="Times New Roman" w:cs="Times New Roman"/>
        </w:rPr>
        <w:t xml:space="preserve">, </w:t>
      </w:r>
      <w:r>
        <w:rPr>
          <w:rFonts w:ascii="Times New Roman" w:eastAsia="Times New Roman" w:hAnsi="Times New Roman" w:cs="Times New Roman"/>
          <w:sz w:val="24"/>
          <w:szCs w:val="24"/>
        </w:rPr>
        <w:t xml:space="preserve">we excluded correlation coefficients more than six standard deviations above or below the mean correlations. Three studies were excluded in the baseline group, one study was excluded in the self-assessment group, and one study was excluded in the self-improvement group. The results from this analysis support our original results; the decreases in the effect sizes were minimal, and the differences </w:t>
      </w:r>
      <w:r w:rsidR="00AF334D">
        <w:rPr>
          <w:rFonts w:ascii="Times New Roman" w:eastAsia="Times New Roman" w:hAnsi="Times New Roman" w:cs="Times New Roman"/>
          <w:sz w:val="24"/>
          <w:szCs w:val="24"/>
        </w:rPr>
        <w:t>in</w:t>
      </w:r>
      <w:r>
        <w:rPr>
          <w:rFonts w:ascii="Times New Roman" w:eastAsia="Times New Roman" w:hAnsi="Times New Roman" w:cs="Times New Roman"/>
          <w:sz w:val="24"/>
          <w:szCs w:val="24"/>
        </w:rPr>
        <w:t xml:space="preserve"> effects that included and excluded outliers were not statistically significant.</w:t>
      </w:r>
    </w:p>
    <w:p w14:paraId="741411C8" w14:textId="18EB28C7"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We followed </w:t>
      </w:r>
      <w:r w:rsidRPr="00130B94">
        <w:rPr>
          <w:rFonts w:ascii="Times New Roman" w:eastAsia="Times New Roman" w:hAnsi="Times New Roman" w:cs="Times New Roman"/>
          <w:noProof/>
          <w:sz w:val="24"/>
          <w:szCs w:val="24"/>
        </w:rPr>
        <w:t>Aguinis et al. (2010a)</w:t>
      </w:r>
      <w:r w:rsidRPr="00130B9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and carried out the </w:t>
      </w:r>
      <w:r>
        <w:rPr>
          <w:rFonts w:ascii="Times New Roman" w:eastAsia="Times New Roman" w:hAnsi="Times New Roman" w:cs="Times New Roman"/>
          <w:b/>
          <w:sz w:val="24"/>
          <w:szCs w:val="24"/>
        </w:rPr>
        <w:t>trim-and-fill analysis</w:t>
      </w:r>
      <w:r>
        <w:rPr>
          <w:rFonts w:ascii="Times New Roman" w:eastAsia="Times New Roman" w:hAnsi="Times New Roman" w:cs="Times New Roman"/>
          <w:sz w:val="24"/>
          <w:szCs w:val="24"/>
        </w:rPr>
        <w:t xml:space="preserve"> to assess the file drawer concern. The trim-and-fill method simulates studies that might be missing from the original sample and includes these simulated studies in effect </w:t>
      </w:r>
      <w:r w:rsidR="00AF334D">
        <w:rPr>
          <w:rFonts w:ascii="Times New Roman" w:eastAsia="Times New Roman" w:hAnsi="Times New Roman" w:cs="Times New Roman"/>
          <w:sz w:val="24"/>
          <w:szCs w:val="24"/>
        </w:rPr>
        <w:t xml:space="preserve">sizes </w:t>
      </w:r>
      <w:r w:rsidR="00AF334D" w:rsidRPr="00C87640">
        <w:rPr>
          <w:rFonts w:ascii="Times New Roman" w:eastAsia="Times New Roman" w:hAnsi="Times New Roman" w:cs="Times New Roman"/>
          <w:sz w:val="24"/>
          <w:szCs w:val="24"/>
        </w:rPr>
        <w:t>(</w:t>
      </w:r>
      <w:r w:rsidRPr="009F5875">
        <w:rPr>
          <w:rFonts w:ascii="Times New Roman" w:eastAsia="Times New Roman" w:hAnsi="Times New Roman" w:cs="Times New Roman"/>
          <w:noProof/>
          <w:sz w:val="24"/>
          <w:szCs w:val="24"/>
        </w:rPr>
        <w:t>Duval and Tweedie, 2000)</w:t>
      </w:r>
      <w:r w:rsidRPr="009F5875">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The estimated number of missing studies for our subgroup analyses ranges from 0 to 14. The differences in our calculated effects and the results of trim-and-fill methods are not statistically significant. In addition to the “file-drawer problem”, we also assessed how many unpublished studies with null results would invalidate our findings </w:t>
      </w:r>
      <w:r w:rsidRPr="00327A69">
        <w:rPr>
          <w:rFonts w:ascii="Times New Roman" w:eastAsia="Times New Roman" w:hAnsi="Times New Roman" w:cs="Times New Roman"/>
          <w:noProof/>
          <w:sz w:val="24"/>
          <w:szCs w:val="24"/>
        </w:rPr>
        <w:t>(Rosenthal, 1995)</w:t>
      </w:r>
      <w:r w:rsidRPr="00327A69">
        <w:rPr>
          <w:rFonts w:ascii="Times New Roman" w:eastAsia="Times New Roman" w:hAnsi="Times New Roman" w:cs="Times New Roman"/>
          <w:sz w:val="28"/>
          <w:szCs w:val="28"/>
        </w:rPr>
        <w:t xml:space="preserve"> </w:t>
      </w:r>
      <w:r>
        <w:rPr>
          <w:rFonts w:ascii="Times New Roman" w:eastAsia="Times New Roman" w:hAnsi="Times New Roman" w:cs="Times New Roman"/>
          <w:sz w:val="24"/>
          <w:szCs w:val="24"/>
        </w:rPr>
        <w:t xml:space="preserve">with the </w:t>
      </w:r>
      <w:r>
        <w:rPr>
          <w:rFonts w:ascii="Times New Roman" w:eastAsia="Times New Roman" w:hAnsi="Times New Roman" w:cs="Times New Roman"/>
          <w:b/>
          <w:sz w:val="24"/>
          <w:szCs w:val="24"/>
        </w:rPr>
        <w:t>Fail-Safe N test</w:t>
      </w:r>
      <w:r>
        <w:rPr>
          <w:rFonts w:ascii="Times New Roman" w:eastAsia="Times New Roman" w:hAnsi="Times New Roman" w:cs="Times New Roman"/>
          <w:sz w:val="24"/>
          <w:szCs w:val="24"/>
        </w:rPr>
        <w:t xml:space="preserve">. We report our results at Appendix A3. The Fail-Safe N values for subgroup analyses (for performance above and below aspirations and different motives) ranges from 27 to 55042, based on the size of subgroups, exceeding the criterion suggested </w:t>
      </w:r>
      <w:r w:rsidRPr="00646D4E">
        <w:rPr>
          <w:rFonts w:ascii="Times New Roman" w:eastAsia="Times New Roman" w:hAnsi="Times New Roman" w:cs="Times New Roman"/>
          <w:sz w:val="24"/>
          <w:szCs w:val="24"/>
        </w:rPr>
        <w:t xml:space="preserve">by </w:t>
      </w:r>
      <w:r>
        <w:rPr>
          <w:rFonts w:ascii="Times New Roman" w:eastAsia="Times New Roman" w:hAnsi="Times New Roman" w:cs="Times New Roman"/>
          <w:noProof/>
          <w:sz w:val="24"/>
          <w:szCs w:val="24"/>
        </w:rPr>
        <w:t>Rosenthal (1979)</w:t>
      </w:r>
      <w:r>
        <w:rPr>
          <w:rFonts w:ascii="Times New Roman" w:eastAsia="Times New Roman" w:hAnsi="Times New Roman" w:cs="Times New Roman"/>
          <w:sz w:val="24"/>
          <w:szCs w:val="24"/>
        </w:rPr>
        <w:t xml:space="preserve"> in all cases</w:t>
      </w:r>
      <w:r>
        <w:rPr>
          <w:rStyle w:val="EndnoteReference"/>
          <w:rFonts w:ascii="Times New Roman" w:eastAsia="Times New Roman" w:hAnsi="Times New Roman" w:cs="Times New Roman"/>
          <w:sz w:val="24"/>
          <w:szCs w:val="24"/>
        </w:rPr>
        <w:endnoteReference w:id="7"/>
      </w:r>
      <w:r>
        <w:rPr>
          <w:rFonts w:ascii="Times New Roman" w:eastAsia="Times New Roman" w:hAnsi="Times New Roman" w:cs="Times New Roman"/>
          <w:sz w:val="24"/>
          <w:szCs w:val="24"/>
        </w:rPr>
        <w:t>. Based on these results, we believe that the robustness of our results is consistent.</w:t>
      </w:r>
    </w:p>
    <w:p w14:paraId="40FB1141" w14:textId="77777777" w:rsidR="00750C42" w:rsidRDefault="00750C42">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DISCUSSION AND CONTRIBUTION</w:t>
      </w:r>
    </w:p>
    <w:p w14:paraId="7AD1BE28" w14:textId="77777777"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In this study, we asked</w:t>
      </w:r>
      <w:r>
        <w:rPr>
          <w:rFonts w:ascii="Times New Roman" w:eastAsia="Times New Roman" w:hAnsi="Times New Roman" w:cs="Times New Roman"/>
          <w:i/>
          <w:sz w:val="24"/>
          <w:szCs w:val="24"/>
        </w:rPr>
        <w:t xml:space="preserve"> whether organizations respond differently to performance evaluations based on different motive-based social reference groups. </w:t>
      </w:r>
      <w:r>
        <w:rPr>
          <w:rFonts w:ascii="Times New Roman" w:eastAsia="Times New Roman" w:hAnsi="Times New Roman" w:cs="Times New Roman"/>
          <w:sz w:val="24"/>
          <w:szCs w:val="24"/>
        </w:rPr>
        <w:t xml:space="preserve">Using a meta-analysis, we found that reference groups based on two distinct self-evaluation motives (i.e., self-assessment and self-improvement) are generally associated with different organizational responses. Building on prior research that acknowledged the importance of reference groups in specific settings </w:t>
      </w:r>
      <w:r>
        <w:rPr>
          <w:rFonts w:ascii="Times New Roman" w:eastAsia="Times New Roman" w:hAnsi="Times New Roman" w:cs="Times New Roman"/>
          <w:noProof/>
          <w:sz w:val="24"/>
          <w:szCs w:val="24"/>
        </w:rPr>
        <w:t>(Kacperczyk et al., 2015, Labianca et al., 2009, Moliterno et al., 2015, Smith and Chae, 2017)</w:t>
      </w:r>
      <w:r>
        <w:rPr>
          <w:rFonts w:ascii="Times New Roman" w:eastAsia="Times New Roman" w:hAnsi="Times New Roman" w:cs="Times New Roman"/>
          <w:sz w:val="24"/>
          <w:szCs w:val="24"/>
        </w:rPr>
        <w:t xml:space="preserve"> we </w:t>
      </w:r>
      <w:proofErr w:type="gramStart"/>
      <w:r>
        <w:rPr>
          <w:rFonts w:ascii="Times New Roman" w:eastAsia="Times New Roman" w:hAnsi="Times New Roman" w:cs="Times New Roman"/>
          <w:sz w:val="24"/>
          <w:szCs w:val="24"/>
        </w:rPr>
        <w:t>are able to</w:t>
      </w:r>
      <w:proofErr w:type="gramEnd"/>
      <w:r>
        <w:rPr>
          <w:rFonts w:ascii="Times New Roman" w:eastAsia="Times New Roman" w:hAnsi="Times New Roman" w:cs="Times New Roman"/>
          <w:sz w:val="24"/>
          <w:szCs w:val="24"/>
        </w:rPr>
        <w:t xml:space="preserve"> generally link diverse performance feedback responses to different reference groups that are based on these two distinct motives.</w:t>
      </w:r>
    </w:p>
    <w:p w14:paraId="5B78F2AD" w14:textId="77777777" w:rsidR="00750C42" w:rsidRDefault="00750C42">
      <w:pPr>
        <w:spacing w:line="480" w:lineRule="auto"/>
        <w:ind w:firstLine="720"/>
        <w:rPr>
          <w:rFonts w:ascii="Times New Roman" w:eastAsia="Times New Roman" w:hAnsi="Times New Roman" w:cs="Times New Roman"/>
          <w:sz w:val="24"/>
          <w:szCs w:val="24"/>
          <w:highlight w:val="yellow"/>
        </w:rPr>
      </w:pPr>
      <w:r>
        <w:rPr>
          <w:rFonts w:ascii="Times New Roman" w:eastAsia="Times New Roman" w:hAnsi="Times New Roman" w:cs="Times New Roman"/>
          <w:b/>
          <w:sz w:val="24"/>
          <w:szCs w:val="24"/>
        </w:rPr>
        <w:t>First</w:t>
      </w:r>
      <w:r>
        <w:rPr>
          <w:rFonts w:ascii="Times New Roman" w:eastAsia="Times New Roman" w:hAnsi="Times New Roman" w:cs="Times New Roman"/>
          <w:sz w:val="24"/>
          <w:szCs w:val="24"/>
        </w:rPr>
        <w:t xml:space="preserve">, our study </w:t>
      </w:r>
      <w:r>
        <w:rPr>
          <w:rFonts w:ascii="Times New Roman" w:eastAsia="Times New Roman" w:hAnsi="Times New Roman" w:cs="Times New Roman"/>
          <w:b/>
          <w:sz w:val="24"/>
          <w:szCs w:val="24"/>
        </w:rPr>
        <w:t xml:space="preserve">expands the conceptual scope of the PFT </w:t>
      </w:r>
      <w:r>
        <w:rPr>
          <w:rFonts w:ascii="Times New Roman" w:eastAsia="Times New Roman" w:hAnsi="Times New Roman" w:cs="Times New Roman"/>
          <w:sz w:val="24"/>
          <w:szCs w:val="24"/>
        </w:rPr>
        <w:t xml:space="preserve">by demonstrating the need to integrate competitive striving through self-improvement into this literature. Although central to the strategy literature </w:t>
      </w:r>
      <w:r>
        <w:rPr>
          <w:rFonts w:ascii="Times New Roman" w:eastAsia="Times New Roman" w:hAnsi="Times New Roman" w:cs="Times New Roman"/>
          <w:noProof/>
          <w:sz w:val="24"/>
          <w:szCs w:val="24"/>
        </w:rPr>
        <w:t>(Porter, 1996)</w:t>
      </w:r>
      <w:r>
        <w:rPr>
          <w:rFonts w:ascii="Times New Roman" w:eastAsia="Times New Roman" w:hAnsi="Times New Roman" w:cs="Times New Roman"/>
          <w:sz w:val="24"/>
          <w:szCs w:val="24"/>
        </w:rPr>
        <w:t>, compe</w:t>
      </w:r>
      <w:sdt>
        <w:sdtPr>
          <w:tag w:val="goog_rdk_6"/>
          <w:id w:val="-1008592037"/>
        </w:sdtPr>
        <w:sdtEndPr/>
        <w:sdtContent/>
      </w:sdt>
      <w:r>
        <w:rPr>
          <w:rFonts w:ascii="Times New Roman" w:eastAsia="Times New Roman" w:hAnsi="Times New Roman" w:cs="Times New Roman"/>
          <w:sz w:val="24"/>
          <w:szCs w:val="24"/>
        </w:rPr>
        <w:t xml:space="preserve">titive striving has been an important void in the PFT </w:t>
      </w:r>
      <w:r>
        <w:rPr>
          <w:rFonts w:ascii="Times New Roman" w:eastAsia="Times New Roman" w:hAnsi="Times New Roman" w:cs="Times New Roman"/>
          <w:sz w:val="24"/>
          <w:szCs w:val="24"/>
        </w:rPr>
        <w:lastRenderedPageBreak/>
        <w:t xml:space="preserve">literature </w:t>
      </w:r>
      <w:r>
        <w:rPr>
          <w:rFonts w:ascii="Times New Roman" w:eastAsia="Times New Roman" w:hAnsi="Times New Roman" w:cs="Times New Roman"/>
          <w:noProof/>
          <w:sz w:val="24"/>
          <w:szCs w:val="24"/>
        </w:rPr>
        <w:t>(Boyle and Shapira, 2012, Gavetti, 2012, Labianca et al., 2009)</w:t>
      </w:r>
      <w:r>
        <w:rPr>
          <w:rFonts w:ascii="Times New Roman" w:eastAsia="Times New Roman" w:hAnsi="Times New Roman" w:cs="Times New Roman"/>
          <w:sz w:val="24"/>
          <w:szCs w:val="24"/>
        </w:rPr>
        <w:t xml:space="preserve">. It is understandable that competitive striving was not at the forefront of </w:t>
      </w:r>
      <w:proofErr w:type="spellStart"/>
      <w:r>
        <w:rPr>
          <w:rFonts w:ascii="Times New Roman" w:eastAsia="Times New Roman" w:hAnsi="Times New Roman" w:cs="Times New Roman"/>
          <w:sz w:val="24"/>
          <w:szCs w:val="24"/>
        </w:rPr>
        <w:t>Cyert</w:t>
      </w:r>
      <w:proofErr w:type="spellEnd"/>
      <w:r>
        <w:rPr>
          <w:rFonts w:ascii="Times New Roman" w:eastAsia="Times New Roman" w:hAnsi="Times New Roman" w:cs="Times New Roman"/>
          <w:sz w:val="24"/>
          <w:szCs w:val="24"/>
        </w:rPr>
        <w:t xml:space="preserve"> and March’s thinking when they formulated the Behavioral Theory of the Firm (BTOF, 1963) that is defined by a stark contrast to the economic assumption of profit maximization. The BTOF was further developed before Strategic Management was formalized as a field at the Pittsburgh Conference in 1977 </w:t>
      </w:r>
      <w:r>
        <w:rPr>
          <w:rFonts w:ascii="Times New Roman" w:eastAsia="Times New Roman" w:hAnsi="Times New Roman" w:cs="Times New Roman"/>
          <w:noProof/>
          <w:sz w:val="24"/>
          <w:szCs w:val="24"/>
        </w:rPr>
        <w:t>(Bettis and Blettner, 2020)</w:t>
      </w:r>
      <w:r>
        <w:rPr>
          <w:rFonts w:ascii="Times New Roman" w:eastAsia="Times New Roman" w:hAnsi="Times New Roman" w:cs="Times New Roman"/>
          <w:sz w:val="24"/>
          <w:szCs w:val="24"/>
        </w:rPr>
        <w:t xml:space="preserve">. However, competitive striving is an important behavior of firms that cannot be omitted from current and future theorizing of the PFT. The omission of competitive striving from the PFT prevents researchers from explaining how firms engage in radical change and break away from its current position </w:t>
      </w:r>
      <w:r>
        <w:rPr>
          <w:rFonts w:ascii="Times New Roman" w:eastAsia="Times New Roman" w:hAnsi="Times New Roman" w:cs="Times New Roman"/>
          <w:noProof/>
          <w:sz w:val="24"/>
          <w:szCs w:val="24"/>
        </w:rPr>
        <w:t>(Porter, 1991, Porter, 1996)</w:t>
      </w:r>
      <w:r>
        <w:rPr>
          <w:rFonts w:ascii="Times New Roman" w:eastAsia="Times New Roman" w:hAnsi="Times New Roman" w:cs="Times New Roman"/>
          <w:sz w:val="24"/>
          <w:szCs w:val="24"/>
        </w:rPr>
        <w:t xml:space="preserve">, especially when they perform above social aspirations. Thus, by demonstrating the need to integrate competitive striving into the PFT, our generalizable results position the PFT indispensable to explaining adaptive competitive behavior and, thus, position it at the core of the burgeoning field of Behavioral Strategy </w:t>
      </w:r>
      <w:r>
        <w:rPr>
          <w:rFonts w:ascii="Times New Roman" w:eastAsia="Times New Roman" w:hAnsi="Times New Roman" w:cs="Times New Roman"/>
          <w:noProof/>
          <w:sz w:val="24"/>
          <w:szCs w:val="24"/>
        </w:rPr>
        <w:t>(Bromiley and Rau, 2014, Gavetti, 2012, Powell et al., 2011)</w:t>
      </w:r>
      <w:r>
        <w:rPr>
          <w:rFonts w:ascii="Times New Roman" w:eastAsia="Times New Roman" w:hAnsi="Times New Roman" w:cs="Times New Roman"/>
          <w:sz w:val="24"/>
          <w:szCs w:val="24"/>
        </w:rPr>
        <w:t>. In our opinion, if the competitive striving were ignored, the range of the PFT would be substantially diminished.</w:t>
      </w:r>
    </w:p>
    <w:p w14:paraId="4A02B149" w14:textId="77777777" w:rsidR="00750C42" w:rsidRDefault="00750C42">
      <w:pPr>
        <w:spacing w:line="480" w:lineRule="auto"/>
        <w:ind w:firstLine="720"/>
        <w:rPr>
          <w:rFonts w:ascii="Times New Roman" w:eastAsia="Times New Roman" w:hAnsi="Times New Roman" w:cs="Times New Roman"/>
          <w:sz w:val="24"/>
          <w:szCs w:val="24"/>
          <w:highlight w:val="yellow"/>
        </w:rPr>
      </w:pPr>
      <w:r>
        <w:rPr>
          <w:rFonts w:ascii="Times New Roman" w:eastAsia="Times New Roman" w:hAnsi="Times New Roman" w:cs="Times New Roman"/>
          <w:b/>
          <w:sz w:val="24"/>
          <w:szCs w:val="24"/>
        </w:rPr>
        <w:t xml:space="preserve">Second, </w:t>
      </w:r>
      <w:r>
        <w:rPr>
          <w:rFonts w:ascii="Times New Roman" w:eastAsia="Times New Roman" w:hAnsi="Times New Roman" w:cs="Times New Roman"/>
          <w:sz w:val="24"/>
          <w:szCs w:val="24"/>
        </w:rPr>
        <w:t xml:space="preserve">we provide </w:t>
      </w:r>
      <w:r>
        <w:rPr>
          <w:rFonts w:ascii="Times New Roman" w:eastAsia="Times New Roman" w:hAnsi="Times New Roman" w:cs="Times New Roman"/>
          <w:b/>
          <w:sz w:val="24"/>
          <w:szCs w:val="24"/>
        </w:rPr>
        <w:t>quantitative and generalizable evidence that reference groups based on distinct motives are systematically related to differences across a great range of diverse organizational responses</w:t>
      </w:r>
      <w:r>
        <w:rPr>
          <w:rFonts w:ascii="Times New Roman" w:eastAsia="Times New Roman" w:hAnsi="Times New Roman" w:cs="Times New Roman"/>
          <w:sz w:val="24"/>
          <w:szCs w:val="24"/>
        </w:rPr>
        <w:t xml:space="preserve"> (e.g., strategic change, risk taking, new product development, R&amp;D expenses, </w:t>
      </w:r>
      <w:proofErr w:type="gramStart"/>
      <w:r>
        <w:rPr>
          <w:rFonts w:ascii="Times New Roman" w:eastAsia="Times New Roman" w:hAnsi="Times New Roman" w:cs="Times New Roman"/>
          <w:sz w:val="24"/>
          <w:szCs w:val="24"/>
        </w:rPr>
        <w:t>growth</w:t>
      </w:r>
      <w:proofErr w:type="gramEnd"/>
      <w:r>
        <w:rPr>
          <w:rFonts w:ascii="Times New Roman" w:eastAsia="Times New Roman" w:hAnsi="Times New Roman" w:cs="Times New Roman"/>
          <w:sz w:val="24"/>
          <w:szCs w:val="24"/>
        </w:rPr>
        <w:t xml:space="preserve"> and facility investments </w:t>
      </w:r>
      <w:r>
        <w:rPr>
          <w:rFonts w:ascii="Times New Roman" w:eastAsia="Times New Roman" w:hAnsi="Times New Roman" w:cs="Times New Roman"/>
          <w:noProof/>
          <w:sz w:val="24"/>
          <w:szCs w:val="24"/>
        </w:rPr>
        <w:t>(Greve, 2003b)</w:t>
      </w:r>
      <w:r>
        <w:rPr>
          <w:rFonts w:ascii="Times New Roman" w:eastAsia="Times New Roman" w:hAnsi="Times New Roman" w:cs="Times New Roman"/>
          <w:sz w:val="24"/>
          <w:szCs w:val="24"/>
        </w:rPr>
        <w:t xml:space="preserve">). Building on the conceptual work related to Self-Evaluation Theory </w:t>
      </w:r>
      <w:r>
        <w:rPr>
          <w:rFonts w:ascii="Times New Roman" w:eastAsia="Times New Roman" w:hAnsi="Times New Roman" w:cs="Times New Roman"/>
          <w:noProof/>
          <w:sz w:val="24"/>
          <w:szCs w:val="24"/>
        </w:rPr>
        <w:t>(Beckman and Lee, 2017, Sedikides and Strube, 1997)</w:t>
      </w:r>
      <w:r>
        <w:rPr>
          <w:rFonts w:ascii="Times New Roman" w:eastAsia="Times New Roman" w:hAnsi="Times New Roman" w:cs="Times New Roman"/>
          <w:sz w:val="24"/>
          <w:szCs w:val="24"/>
        </w:rPr>
        <w:t xml:space="preserve"> and empirical work by </w:t>
      </w:r>
      <w:r>
        <w:rPr>
          <w:rFonts w:ascii="Times New Roman" w:eastAsia="Times New Roman" w:hAnsi="Times New Roman" w:cs="Times New Roman"/>
          <w:noProof/>
          <w:sz w:val="24"/>
          <w:szCs w:val="24"/>
        </w:rPr>
        <w:t>Audia et al. (2015)</w:t>
      </w:r>
      <w:r>
        <w:rPr>
          <w:rFonts w:ascii="Times New Roman" w:eastAsia="Times New Roman" w:hAnsi="Times New Roman" w:cs="Times New Roman"/>
          <w:sz w:val="24"/>
          <w:szCs w:val="24"/>
        </w:rPr>
        <w:t xml:space="preserve">, we demonstrate that responses to social reference groups based on the self-improvement motive differ significantly from responses to social reference groups based on the self-assessment motive. This difference suggests to us that the integration of self-evaluation motives represents a fruitful direction for theorizing social </w:t>
      </w:r>
      <w:r>
        <w:rPr>
          <w:rFonts w:ascii="Times New Roman" w:eastAsia="Times New Roman" w:hAnsi="Times New Roman" w:cs="Times New Roman"/>
          <w:sz w:val="24"/>
          <w:szCs w:val="24"/>
        </w:rPr>
        <w:lastRenderedPageBreak/>
        <w:t xml:space="preserve">reference groups. Our theorizing further strengthens the motivational aspects, a core constituent of adaptive behavior in the PFT </w:t>
      </w:r>
      <w:r>
        <w:rPr>
          <w:rFonts w:ascii="Times New Roman" w:eastAsia="Times New Roman" w:hAnsi="Times New Roman" w:cs="Times New Roman"/>
          <w:noProof/>
          <w:sz w:val="24"/>
          <w:szCs w:val="24"/>
        </w:rPr>
        <w:t>(Argote and Greve, 2007, Cyert and March, 1992, Eggers and Kaul, 2018, Xu et al., 2019)</w:t>
      </w:r>
      <w:r>
        <w:rPr>
          <w:rFonts w:ascii="Times New Roman" w:eastAsia="Times New Roman" w:hAnsi="Times New Roman" w:cs="Times New Roman"/>
          <w:sz w:val="24"/>
          <w:szCs w:val="24"/>
        </w:rPr>
        <w:t xml:space="preserve">. Our work represents a first step in the development of a more differentiated theory on the motivational drivers for reference-group selection and demonstrates to researchers that an undifferentiated general concept of social aspirations is insufficient. We further complement empirical evidence on the selection and effects of social reference groups in the PFT </w:t>
      </w:r>
      <w:r>
        <w:rPr>
          <w:rFonts w:ascii="Times New Roman" w:eastAsia="Times New Roman" w:hAnsi="Times New Roman" w:cs="Times New Roman"/>
          <w:noProof/>
          <w:sz w:val="24"/>
          <w:szCs w:val="24"/>
        </w:rPr>
        <w:t>(Audia et al., 2021, Kacperczyk et al., 2015, Labianca et al., 2009, Moliterno et al., 2015, Smith and Chae, 2017)</w:t>
      </w:r>
      <w:r>
        <w:rPr>
          <w:rFonts w:ascii="Times New Roman" w:eastAsia="Times New Roman" w:hAnsi="Times New Roman" w:cs="Times New Roman"/>
          <w:sz w:val="24"/>
          <w:szCs w:val="24"/>
        </w:rPr>
        <w:t xml:space="preserve"> by proposing motivation-based theorizing for differences among social reference groups. </w:t>
      </w:r>
    </w:p>
    <w:p w14:paraId="64582093" w14:textId="77777777"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b/>
          <w:sz w:val="24"/>
          <w:szCs w:val="24"/>
        </w:rPr>
        <w:t>Finally</w:t>
      </w:r>
      <w:r>
        <w:rPr>
          <w:rFonts w:ascii="Times New Roman" w:eastAsia="Times New Roman" w:hAnsi="Times New Roman" w:cs="Times New Roman"/>
          <w:sz w:val="24"/>
          <w:szCs w:val="24"/>
        </w:rPr>
        <w:t xml:space="preserve">, by focusing on social reference groups – a core element of the PFT model – we forge a promising path for an enhanced and coherent PFT theory because we </w:t>
      </w:r>
      <w:proofErr w:type="gramStart"/>
      <w:r>
        <w:rPr>
          <w:rFonts w:ascii="Times New Roman" w:eastAsia="Times New Roman" w:hAnsi="Times New Roman" w:cs="Times New Roman"/>
          <w:sz w:val="24"/>
          <w:szCs w:val="24"/>
        </w:rPr>
        <w:t>are able to</w:t>
      </w:r>
      <w:proofErr w:type="gramEnd"/>
      <w:r>
        <w:rPr>
          <w:rFonts w:ascii="Times New Roman" w:eastAsia="Times New Roman" w:hAnsi="Times New Roman" w:cs="Times New Roman"/>
          <w:sz w:val="24"/>
          <w:szCs w:val="24"/>
        </w:rPr>
        <w:t xml:space="preserve"> demonstrate that </w:t>
      </w:r>
      <w:r>
        <w:rPr>
          <w:rFonts w:ascii="Times New Roman" w:eastAsia="Times New Roman" w:hAnsi="Times New Roman" w:cs="Times New Roman"/>
          <w:b/>
          <w:sz w:val="24"/>
          <w:szCs w:val="24"/>
        </w:rPr>
        <w:t>different responses to performance above aspirations originate from different motives for selecting social reference groups</w:t>
      </w:r>
      <w:r>
        <w:rPr>
          <w:rFonts w:ascii="Times New Roman" w:eastAsia="Times New Roman" w:hAnsi="Times New Roman" w:cs="Times New Roman"/>
          <w:sz w:val="24"/>
          <w:szCs w:val="24"/>
        </w:rPr>
        <w:t xml:space="preserve">. This is crucial and timely because research has shown that previous theoretical explanations for firm behavior in response to performance above aspirations (i.e., managers will be risk averse and become inert, </w:t>
      </w:r>
      <w:r>
        <w:rPr>
          <w:rFonts w:ascii="Times New Roman" w:eastAsia="Times New Roman" w:hAnsi="Times New Roman" w:cs="Times New Roman"/>
          <w:noProof/>
          <w:sz w:val="24"/>
          <w:szCs w:val="24"/>
        </w:rPr>
        <w:t>(Greve, 2003b)</w:t>
      </w:r>
      <w:r>
        <w:rPr>
          <w:rFonts w:ascii="Times New Roman" w:eastAsia="Times New Roman" w:hAnsi="Times New Roman" w:cs="Times New Roman"/>
          <w:sz w:val="24"/>
          <w:szCs w:val="24"/>
        </w:rPr>
        <w:t xml:space="preserve">) and contextual factors (e.g., organizational slack, </w:t>
      </w:r>
      <w:r>
        <w:rPr>
          <w:rFonts w:ascii="Times New Roman" w:eastAsia="Times New Roman" w:hAnsi="Times New Roman" w:cs="Times New Roman"/>
          <w:noProof/>
          <w:sz w:val="24"/>
          <w:szCs w:val="24"/>
        </w:rPr>
        <w:t>(Nohria and Gulati, 1996)</w:t>
      </w:r>
      <w:r>
        <w:rPr>
          <w:rFonts w:ascii="Times New Roman" w:eastAsia="Times New Roman" w:hAnsi="Times New Roman" w:cs="Times New Roman"/>
          <w:sz w:val="24"/>
          <w:szCs w:val="24"/>
        </w:rPr>
        <w:t xml:space="preserve">) do not account for observed behavior </w:t>
      </w:r>
      <w:r>
        <w:rPr>
          <w:rFonts w:ascii="Times New Roman" w:eastAsia="Times New Roman" w:hAnsi="Times New Roman" w:cs="Times New Roman"/>
          <w:noProof/>
          <w:sz w:val="24"/>
          <w:szCs w:val="24"/>
        </w:rPr>
        <w:t>(Kotiloglu et al., 2021, Posen et al., 2018, Ref and Shapira, 2017)</w:t>
      </w:r>
      <w:r>
        <w:rPr>
          <w:rFonts w:ascii="Times New Roman" w:eastAsia="Times New Roman" w:hAnsi="Times New Roman" w:cs="Times New Roman"/>
          <w:sz w:val="24"/>
          <w:szCs w:val="24"/>
        </w:rPr>
        <w:t xml:space="preserve">. We show that the heterogeneity of responses to performance above aspirations can be explained based on social </w:t>
      </w:r>
      <w:sdt>
        <w:sdtPr>
          <w:tag w:val="goog_rdk_8"/>
          <w:id w:val="-1582673813"/>
        </w:sdtPr>
        <w:sdtEndPr/>
        <w:sdtContent/>
      </w:sdt>
      <w:r>
        <w:rPr>
          <w:rFonts w:ascii="Times New Roman" w:eastAsia="Times New Roman" w:hAnsi="Times New Roman" w:cs="Times New Roman"/>
          <w:sz w:val="24"/>
          <w:szCs w:val="24"/>
        </w:rPr>
        <w:t xml:space="preserve">aspirations, a core constituent of the PFT model itself. </w:t>
      </w:r>
      <w:proofErr w:type="gramStart"/>
      <w:r>
        <w:rPr>
          <w:rFonts w:ascii="Times New Roman" w:eastAsia="Times New Roman" w:hAnsi="Times New Roman" w:cs="Times New Roman"/>
          <w:sz w:val="24"/>
          <w:szCs w:val="24"/>
        </w:rPr>
        <w:t>As a consequence of</w:t>
      </w:r>
      <w:proofErr w:type="gramEnd"/>
      <w:r>
        <w:rPr>
          <w:rFonts w:ascii="Times New Roman" w:eastAsia="Times New Roman" w:hAnsi="Times New Roman" w:cs="Times New Roman"/>
          <w:sz w:val="24"/>
          <w:szCs w:val="24"/>
        </w:rPr>
        <w:t xml:space="preserve"> our work, we believe it will be important for PFT researchers to pay close attention to social reference groups and take a more comprehensive view </w:t>
      </w:r>
      <w:proofErr w:type="gramStart"/>
      <w:r>
        <w:rPr>
          <w:rFonts w:ascii="Times New Roman" w:eastAsia="Times New Roman" w:hAnsi="Times New Roman" w:cs="Times New Roman"/>
          <w:sz w:val="24"/>
          <w:szCs w:val="24"/>
        </w:rPr>
        <w:t>on</w:t>
      </w:r>
      <w:proofErr w:type="gramEnd"/>
      <w:r>
        <w:rPr>
          <w:rFonts w:ascii="Times New Roman" w:eastAsia="Times New Roman" w:hAnsi="Times New Roman" w:cs="Times New Roman"/>
          <w:sz w:val="24"/>
          <w:szCs w:val="24"/>
        </w:rPr>
        <w:t xml:space="preserve"> motivational aspects that underlie the model. An implication of our research is that the use of the industry average as an undifferentiated social reference group is inappropriate for explaining responses to performance </w:t>
      </w:r>
      <w:r>
        <w:rPr>
          <w:rFonts w:ascii="Times New Roman" w:eastAsia="Times New Roman" w:hAnsi="Times New Roman" w:cs="Times New Roman"/>
          <w:sz w:val="24"/>
          <w:szCs w:val="24"/>
        </w:rPr>
        <w:lastRenderedPageBreak/>
        <w:t xml:space="preserve">above aspirations. Besides, our study makes the case for researchers to include a self-improvement reference group into their models. </w:t>
      </w:r>
    </w:p>
    <w:p w14:paraId="0F571DC3" w14:textId="3B7EF843" w:rsidR="00846818" w:rsidRPr="00612C49" w:rsidRDefault="00750C42">
      <w:pPr>
        <w:spacing w:line="480" w:lineRule="auto"/>
        <w:ind w:firstLine="720"/>
        <w:rPr>
          <w:rFonts w:ascii="Times New Roman" w:eastAsia="Times New Roman" w:hAnsi="Times New Roman" w:cs="Times New Roman"/>
          <w:sz w:val="24"/>
          <w:szCs w:val="24"/>
        </w:rPr>
      </w:pPr>
      <w:r w:rsidRPr="00612C49">
        <w:rPr>
          <w:rFonts w:ascii="Times New Roman" w:eastAsia="Times New Roman" w:hAnsi="Times New Roman" w:cs="Times New Roman"/>
          <w:sz w:val="24"/>
          <w:szCs w:val="24"/>
        </w:rPr>
        <w:t xml:space="preserve">For performance below aspirations, </w:t>
      </w:r>
      <w:r w:rsidRPr="00612C49">
        <w:rPr>
          <w:rFonts w:ascii="Times New Roman" w:eastAsia="Times New Roman" w:hAnsi="Times New Roman" w:cs="Times New Roman"/>
          <w:b/>
          <w:bCs/>
          <w:sz w:val="24"/>
          <w:szCs w:val="24"/>
        </w:rPr>
        <w:t>our results for the self-assessment groups have the greatest predictive power</w:t>
      </w:r>
      <w:r w:rsidRPr="00612C49">
        <w:rPr>
          <w:rFonts w:ascii="Times New Roman" w:eastAsia="Times New Roman" w:hAnsi="Times New Roman" w:cs="Times New Roman"/>
          <w:sz w:val="24"/>
          <w:szCs w:val="24"/>
        </w:rPr>
        <w:t xml:space="preserve"> but </w:t>
      </w:r>
      <w:r w:rsidRPr="00612C49">
        <w:rPr>
          <w:rFonts w:ascii="Times New Roman" w:eastAsia="Times New Roman" w:hAnsi="Times New Roman" w:cs="Times New Roman"/>
          <w:b/>
          <w:bCs/>
          <w:sz w:val="24"/>
          <w:szCs w:val="24"/>
        </w:rPr>
        <w:t>our results for the self-improvement group are inconclusive</w:t>
      </w:r>
      <w:r w:rsidR="00846818" w:rsidRPr="00612C49">
        <w:rPr>
          <w:rFonts w:ascii="Times New Roman" w:eastAsia="Times New Roman" w:hAnsi="Times New Roman" w:cs="Times New Roman"/>
          <w:sz w:val="24"/>
          <w:szCs w:val="24"/>
        </w:rPr>
        <w:t xml:space="preserve"> (Hypothesis 1b is </w:t>
      </w:r>
      <w:r w:rsidR="00C62424" w:rsidRPr="00612C49">
        <w:rPr>
          <w:rFonts w:ascii="Times New Roman" w:eastAsia="Times New Roman" w:hAnsi="Times New Roman" w:cs="Times New Roman"/>
          <w:sz w:val="24"/>
          <w:szCs w:val="24"/>
        </w:rPr>
        <w:t xml:space="preserve">not </w:t>
      </w:r>
      <w:r w:rsidR="00846818" w:rsidRPr="00612C49">
        <w:rPr>
          <w:rFonts w:ascii="Times New Roman" w:eastAsia="Times New Roman" w:hAnsi="Times New Roman" w:cs="Times New Roman"/>
          <w:sz w:val="24"/>
          <w:szCs w:val="24"/>
        </w:rPr>
        <w:t>supported)</w:t>
      </w:r>
      <w:r w:rsidRPr="00612C49">
        <w:rPr>
          <w:rFonts w:ascii="Times New Roman" w:eastAsia="Times New Roman" w:hAnsi="Times New Roman" w:cs="Times New Roman"/>
          <w:sz w:val="24"/>
          <w:szCs w:val="24"/>
        </w:rPr>
        <w:t>.</w:t>
      </w:r>
      <w:r w:rsidR="00846818" w:rsidRPr="00612C49">
        <w:rPr>
          <w:rFonts w:ascii="Times New Roman" w:eastAsia="Times New Roman" w:hAnsi="Times New Roman" w:cs="Times New Roman"/>
          <w:sz w:val="24"/>
          <w:szCs w:val="24"/>
        </w:rPr>
        <w:t xml:space="preserve"> Th</w:t>
      </w:r>
      <w:r w:rsidR="00FD49D1" w:rsidRPr="00612C49">
        <w:rPr>
          <w:rFonts w:ascii="Times New Roman" w:eastAsia="Times New Roman" w:hAnsi="Times New Roman" w:cs="Times New Roman"/>
          <w:sz w:val="24"/>
          <w:szCs w:val="24"/>
        </w:rPr>
        <w:t>is</w:t>
      </w:r>
      <w:r w:rsidR="00846818" w:rsidRPr="00612C49">
        <w:rPr>
          <w:rFonts w:ascii="Times New Roman" w:eastAsia="Times New Roman" w:hAnsi="Times New Roman" w:cs="Times New Roman"/>
          <w:sz w:val="24"/>
          <w:szCs w:val="24"/>
        </w:rPr>
        <w:t xml:space="preserve"> lack of support</w:t>
      </w:r>
      <w:r w:rsidR="004746A0" w:rsidRPr="00612C49">
        <w:rPr>
          <w:rFonts w:ascii="Times New Roman" w:eastAsia="Times New Roman" w:hAnsi="Times New Roman" w:cs="Times New Roman"/>
          <w:sz w:val="24"/>
          <w:szCs w:val="24"/>
        </w:rPr>
        <w:t>,</w:t>
      </w:r>
      <w:r w:rsidR="00846818" w:rsidRPr="00612C49">
        <w:rPr>
          <w:rFonts w:ascii="Times New Roman" w:eastAsia="Times New Roman" w:hAnsi="Times New Roman" w:cs="Times New Roman"/>
          <w:sz w:val="24"/>
          <w:szCs w:val="24"/>
        </w:rPr>
        <w:t xml:space="preserve"> </w:t>
      </w:r>
      <w:r w:rsidR="004746A0" w:rsidRPr="00612C49">
        <w:rPr>
          <w:rFonts w:ascii="Times New Roman" w:eastAsia="Times New Roman" w:hAnsi="Times New Roman" w:cs="Times New Roman"/>
          <w:sz w:val="24"/>
          <w:szCs w:val="24"/>
        </w:rPr>
        <w:t xml:space="preserve">which </w:t>
      </w:r>
      <w:r w:rsidR="00FD49D1" w:rsidRPr="00612C49">
        <w:rPr>
          <w:rFonts w:ascii="Times New Roman" w:eastAsia="Times New Roman" w:hAnsi="Times New Roman" w:cs="Times New Roman"/>
          <w:sz w:val="24"/>
          <w:szCs w:val="24"/>
        </w:rPr>
        <w:t xml:space="preserve">resonates with the findings of </w:t>
      </w:r>
      <w:proofErr w:type="spellStart"/>
      <w:r w:rsidR="00FD49D1" w:rsidRPr="00612C49">
        <w:rPr>
          <w:rFonts w:ascii="Times New Roman" w:eastAsia="Times New Roman" w:hAnsi="Times New Roman" w:cs="Times New Roman"/>
          <w:sz w:val="24"/>
          <w:szCs w:val="24"/>
        </w:rPr>
        <w:t>Labianca</w:t>
      </w:r>
      <w:proofErr w:type="spellEnd"/>
      <w:r w:rsidR="00FD49D1" w:rsidRPr="00612C49">
        <w:rPr>
          <w:rFonts w:ascii="Times New Roman" w:eastAsia="Times New Roman" w:hAnsi="Times New Roman" w:cs="Times New Roman"/>
          <w:sz w:val="24"/>
          <w:szCs w:val="24"/>
        </w:rPr>
        <w:t xml:space="preserve"> et al. (2009)</w:t>
      </w:r>
      <w:r w:rsidR="004746A0" w:rsidRPr="00612C49">
        <w:rPr>
          <w:rFonts w:ascii="Times New Roman" w:eastAsia="Times New Roman" w:hAnsi="Times New Roman" w:cs="Times New Roman"/>
          <w:sz w:val="24"/>
          <w:szCs w:val="24"/>
        </w:rPr>
        <w:t>,</w:t>
      </w:r>
      <w:r w:rsidR="00FD49D1" w:rsidRPr="00612C49">
        <w:rPr>
          <w:rFonts w:ascii="Times New Roman" w:eastAsia="Times New Roman" w:hAnsi="Times New Roman" w:cs="Times New Roman"/>
          <w:sz w:val="24"/>
          <w:szCs w:val="24"/>
        </w:rPr>
        <w:t xml:space="preserve"> </w:t>
      </w:r>
      <w:r w:rsidR="00846818" w:rsidRPr="00612C49">
        <w:rPr>
          <w:rFonts w:ascii="Times New Roman" w:eastAsia="Times New Roman" w:hAnsi="Times New Roman" w:cs="Times New Roman"/>
          <w:sz w:val="24"/>
          <w:szCs w:val="24"/>
        </w:rPr>
        <w:t xml:space="preserve">might </w:t>
      </w:r>
      <w:r w:rsidR="001B30D0" w:rsidRPr="00612C49">
        <w:rPr>
          <w:rFonts w:ascii="Times New Roman" w:eastAsia="Times New Roman" w:hAnsi="Times New Roman" w:cs="Times New Roman"/>
          <w:sz w:val="24"/>
          <w:szCs w:val="24"/>
        </w:rPr>
        <w:t>have theoretical and empirical reasons</w:t>
      </w:r>
      <w:r w:rsidR="00846818" w:rsidRPr="00612C49">
        <w:rPr>
          <w:rFonts w:ascii="Times New Roman" w:eastAsia="Times New Roman" w:hAnsi="Times New Roman" w:cs="Times New Roman"/>
          <w:sz w:val="24"/>
          <w:szCs w:val="24"/>
        </w:rPr>
        <w:t>. Theoretically, the further firms fall below the self-improvement group, the more irrelevant it becomes compared to the self-assessment group</w:t>
      </w:r>
      <w:r w:rsidR="00FD49D1" w:rsidRPr="00612C49">
        <w:rPr>
          <w:rFonts w:ascii="Times New Roman" w:eastAsia="Times New Roman" w:hAnsi="Times New Roman" w:cs="Times New Roman"/>
          <w:sz w:val="24"/>
          <w:szCs w:val="24"/>
        </w:rPr>
        <w:t xml:space="preserve"> because </w:t>
      </w:r>
      <w:r w:rsidR="00846818" w:rsidRPr="00612C49">
        <w:rPr>
          <w:rFonts w:ascii="Times New Roman" w:eastAsia="Times New Roman" w:hAnsi="Times New Roman" w:cs="Times New Roman"/>
          <w:sz w:val="24"/>
          <w:szCs w:val="24"/>
        </w:rPr>
        <w:t>decision-makers prefer upward comparison with similar targets</w:t>
      </w:r>
      <w:r w:rsidR="00FD49D1" w:rsidRPr="00612C49">
        <w:rPr>
          <w:rFonts w:ascii="Times New Roman" w:eastAsia="Times New Roman" w:hAnsi="Times New Roman" w:cs="Times New Roman"/>
          <w:sz w:val="24"/>
          <w:szCs w:val="24"/>
        </w:rPr>
        <w:t xml:space="preserve"> </w:t>
      </w:r>
      <w:r w:rsidR="00C62424" w:rsidRPr="00612C49">
        <w:rPr>
          <w:rFonts w:ascii="Times New Roman" w:eastAsia="Times New Roman" w:hAnsi="Times New Roman" w:cs="Times New Roman"/>
          <w:sz w:val="24"/>
          <w:szCs w:val="24"/>
        </w:rPr>
        <w:t xml:space="preserve">over </w:t>
      </w:r>
      <w:r w:rsidR="00FD49D1" w:rsidRPr="00612C49">
        <w:rPr>
          <w:rFonts w:ascii="Times New Roman" w:eastAsia="Times New Roman" w:hAnsi="Times New Roman" w:cs="Times New Roman"/>
          <w:sz w:val="24"/>
          <w:szCs w:val="24"/>
        </w:rPr>
        <w:t>dissimilar ones</w:t>
      </w:r>
      <w:r w:rsidR="00846818" w:rsidRPr="00612C49">
        <w:rPr>
          <w:rFonts w:ascii="Times New Roman" w:eastAsia="Times New Roman" w:hAnsi="Times New Roman" w:cs="Times New Roman"/>
          <w:sz w:val="24"/>
          <w:szCs w:val="24"/>
        </w:rPr>
        <w:t xml:space="preserve"> </w:t>
      </w:r>
      <w:r w:rsidR="00846818" w:rsidRPr="00612C49">
        <w:rPr>
          <w:rFonts w:ascii="Times New Roman" w:eastAsia="Times New Roman" w:hAnsi="Times New Roman" w:cs="Times New Roman"/>
          <w:noProof/>
          <w:sz w:val="24"/>
          <w:szCs w:val="24"/>
        </w:rPr>
        <w:t>(Collins, 1996)</w:t>
      </w:r>
      <w:r w:rsidR="00FD49D1" w:rsidRPr="00612C49">
        <w:rPr>
          <w:rFonts w:ascii="Times New Roman" w:eastAsia="Times New Roman" w:hAnsi="Times New Roman" w:cs="Times New Roman"/>
          <w:noProof/>
          <w:sz w:val="24"/>
          <w:szCs w:val="24"/>
        </w:rPr>
        <w:t>.</w:t>
      </w:r>
      <w:r w:rsidR="00286DD4" w:rsidRPr="00612C49">
        <w:rPr>
          <w:rFonts w:ascii="Times New Roman" w:eastAsia="Times New Roman" w:hAnsi="Times New Roman" w:cs="Times New Roman"/>
          <w:noProof/>
          <w:sz w:val="24"/>
          <w:szCs w:val="24"/>
        </w:rPr>
        <w:t xml:space="preserve"> Some firms that perform below their self-improvement group will also perform below their self-assessment group, which will shift their attention away from self-improvement group</w:t>
      </w:r>
      <w:r w:rsidR="00C21A32">
        <w:rPr>
          <w:rFonts w:ascii="Times New Roman" w:eastAsia="Times New Roman" w:hAnsi="Times New Roman" w:cs="Times New Roman"/>
          <w:noProof/>
          <w:sz w:val="24"/>
          <w:szCs w:val="24"/>
        </w:rPr>
        <w:t xml:space="preserve"> because </w:t>
      </w:r>
      <w:r w:rsidR="00742962">
        <w:rPr>
          <w:rFonts w:ascii="Times New Roman" w:eastAsia="Times New Roman" w:hAnsi="Times New Roman" w:cs="Times New Roman"/>
          <w:noProof/>
          <w:sz w:val="24"/>
          <w:szCs w:val="24"/>
        </w:rPr>
        <w:t>performing below self-assessment points to a problem that needs to be immediately resolved (Posen et al., 2018)</w:t>
      </w:r>
      <w:r w:rsidR="00286DD4" w:rsidRPr="00612C49">
        <w:rPr>
          <w:rFonts w:ascii="Times New Roman" w:eastAsia="Times New Roman" w:hAnsi="Times New Roman" w:cs="Times New Roman"/>
          <w:noProof/>
          <w:sz w:val="24"/>
          <w:szCs w:val="24"/>
        </w:rPr>
        <w:t xml:space="preserve">. </w:t>
      </w:r>
      <w:r w:rsidR="00FD49D1" w:rsidRPr="00612C49">
        <w:rPr>
          <w:rFonts w:ascii="Times New Roman" w:eastAsia="Times New Roman" w:hAnsi="Times New Roman" w:cs="Times New Roman"/>
          <w:noProof/>
          <w:sz w:val="24"/>
          <w:szCs w:val="24"/>
        </w:rPr>
        <w:t xml:space="preserve">Besides, decision-makers </w:t>
      </w:r>
      <w:r w:rsidR="00846818" w:rsidRPr="00612C49">
        <w:rPr>
          <w:rFonts w:ascii="Times New Roman" w:eastAsia="Times New Roman" w:hAnsi="Times New Roman" w:cs="Times New Roman"/>
          <w:sz w:val="24"/>
          <w:szCs w:val="24"/>
        </w:rPr>
        <w:t>who have experienced setbacks respond less to upward comparison (as per self-improvement group</w:t>
      </w:r>
      <w:r w:rsidR="00C62424" w:rsidRPr="00612C49">
        <w:rPr>
          <w:rFonts w:ascii="Times New Roman" w:eastAsia="Times New Roman" w:hAnsi="Times New Roman" w:cs="Times New Roman"/>
          <w:sz w:val="24"/>
          <w:szCs w:val="24"/>
        </w:rPr>
        <w:t xml:space="preserve">) because it decreases their self-evaluation </w:t>
      </w:r>
      <w:r w:rsidR="00846818" w:rsidRPr="00612C49">
        <w:rPr>
          <w:rFonts w:ascii="Times New Roman" w:eastAsia="Times New Roman" w:hAnsi="Times New Roman" w:cs="Times New Roman"/>
          <w:noProof/>
          <w:sz w:val="24"/>
          <w:szCs w:val="24"/>
        </w:rPr>
        <w:t>(Aspinwall and Taylor, 1993)</w:t>
      </w:r>
      <w:r w:rsidR="00846818" w:rsidRPr="00612C49">
        <w:rPr>
          <w:rFonts w:ascii="Times New Roman" w:eastAsia="Times New Roman" w:hAnsi="Times New Roman" w:cs="Times New Roman"/>
          <w:sz w:val="24"/>
          <w:szCs w:val="24"/>
        </w:rPr>
        <w:t xml:space="preserve">). If there is no reasonable possibility for long-term improvement, decision-makers may experience self-improvement feedback as </w:t>
      </w:r>
      <w:r w:rsidR="00FD49D1" w:rsidRPr="00612C49">
        <w:rPr>
          <w:rFonts w:ascii="Times New Roman" w:eastAsia="Times New Roman" w:hAnsi="Times New Roman" w:cs="Times New Roman"/>
          <w:sz w:val="24"/>
          <w:szCs w:val="24"/>
        </w:rPr>
        <w:t>threatening and protect themselves against it by</w:t>
      </w:r>
      <w:r w:rsidR="00C62424" w:rsidRPr="00612C49">
        <w:rPr>
          <w:rFonts w:ascii="Times New Roman" w:eastAsia="Times New Roman" w:hAnsi="Times New Roman" w:cs="Times New Roman"/>
          <w:sz w:val="24"/>
          <w:szCs w:val="24"/>
        </w:rPr>
        <w:t xml:space="preserve"> processing it superficially</w:t>
      </w:r>
      <w:r w:rsidR="00846818" w:rsidRPr="00612C49">
        <w:rPr>
          <w:rFonts w:ascii="Times New Roman" w:eastAsia="Times New Roman" w:hAnsi="Times New Roman" w:cs="Times New Roman"/>
          <w:sz w:val="24"/>
          <w:szCs w:val="24"/>
        </w:rPr>
        <w:t xml:space="preserve"> </w:t>
      </w:r>
      <w:r w:rsidR="00846818" w:rsidRPr="00612C49">
        <w:rPr>
          <w:rFonts w:ascii="Times New Roman" w:eastAsia="Times New Roman" w:hAnsi="Times New Roman" w:cs="Times New Roman"/>
          <w:noProof/>
          <w:sz w:val="24"/>
          <w:szCs w:val="24"/>
        </w:rPr>
        <w:t>(Green et al., 2009)</w:t>
      </w:r>
      <w:r w:rsidR="00846818" w:rsidRPr="00612C49">
        <w:rPr>
          <w:rFonts w:ascii="Times New Roman" w:eastAsia="Times New Roman" w:hAnsi="Times New Roman" w:cs="Times New Roman"/>
          <w:sz w:val="24"/>
          <w:szCs w:val="24"/>
        </w:rPr>
        <w:t>.</w:t>
      </w:r>
      <w:r w:rsidR="00FD49D1" w:rsidRPr="00612C49">
        <w:rPr>
          <w:rFonts w:ascii="Times New Roman" w:eastAsia="Times New Roman" w:hAnsi="Times New Roman" w:cs="Times New Roman"/>
          <w:sz w:val="24"/>
          <w:szCs w:val="24"/>
        </w:rPr>
        <w:t xml:space="preserve"> </w:t>
      </w:r>
      <w:r w:rsidR="00742962">
        <w:rPr>
          <w:rFonts w:ascii="Times New Roman" w:eastAsia="Times New Roman" w:hAnsi="Times New Roman" w:cs="Times New Roman"/>
          <w:sz w:val="24"/>
          <w:szCs w:val="24"/>
        </w:rPr>
        <w:t>Under these conditions, self-improvement becomes less relevant.</w:t>
      </w:r>
    </w:p>
    <w:p w14:paraId="5DB6B0A9" w14:textId="21C91942" w:rsidR="00750C42" w:rsidRDefault="00846818" w:rsidP="006B598E">
      <w:pPr>
        <w:spacing w:line="480" w:lineRule="auto"/>
        <w:ind w:firstLine="720"/>
        <w:rPr>
          <w:rFonts w:ascii="Times New Roman" w:eastAsia="Times New Roman" w:hAnsi="Times New Roman" w:cs="Times New Roman"/>
          <w:sz w:val="24"/>
          <w:szCs w:val="24"/>
        </w:rPr>
      </w:pPr>
      <w:r w:rsidRPr="00612C49">
        <w:rPr>
          <w:rFonts w:ascii="Times New Roman" w:eastAsia="Times New Roman" w:hAnsi="Times New Roman" w:cs="Times New Roman"/>
          <w:sz w:val="24"/>
          <w:szCs w:val="24"/>
        </w:rPr>
        <w:t xml:space="preserve">Empirically, </w:t>
      </w:r>
      <w:r w:rsidR="00750C42" w:rsidRPr="00612C49">
        <w:rPr>
          <w:rFonts w:ascii="Times New Roman" w:eastAsia="Times New Roman" w:hAnsi="Times New Roman" w:cs="Times New Roman"/>
          <w:sz w:val="24"/>
          <w:szCs w:val="24"/>
        </w:rPr>
        <w:t xml:space="preserve">inconclusive results may be </w:t>
      </w:r>
      <w:r w:rsidR="002541B6">
        <w:rPr>
          <w:rFonts w:ascii="Times New Roman" w:eastAsia="Times New Roman" w:hAnsi="Times New Roman" w:cs="Times New Roman"/>
          <w:sz w:val="24"/>
          <w:szCs w:val="24"/>
        </w:rPr>
        <w:t>because</w:t>
      </w:r>
      <w:r w:rsidR="00750C42" w:rsidRPr="00612C49">
        <w:rPr>
          <w:rFonts w:ascii="Times New Roman" w:eastAsia="Times New Roman" w:hAnsi="Times New Roman" w:cs="Times New Roman"/>
          <w:sz w:val="24"/>
          <w:szCs w:val="24"/>
        </w:rPr>
        <w:t xml:space="preserve"> the group of firms that performs below the self-improvement group is large and heterogeneous</w:t>
      </w:r>
      <w:r w:rsidR="009E737B" w:rsidRPr="00612C49">
        <w:rPr>
          <w:rFonts w:ascii="Times New Roman" w:eastAsia="Times New Roman" w:hAnsi="Times New Roman" w:cs="Times New Roman"/>
          <w:sz w:val="24"/>
          <w:szCs w:val="24"/>
        </w:rPr>
        <w:t xml:space="preserve">. Since the self-improvement group is a small upper echelon of firms, </w:t>
      </w:r>
      <w:r w:rsidR="006B598E" w:rsidRPr="00612C49">
        <w:rPr>
          <w:rFonts w:ascii="Times New Roman" w:eastAsia="Times New Roman" w:hAnsi="Times New Roman" w:cs="Times New Roman"/>
          <w:sz w:val="24"/>
          <w:szCs w:val="24"/>
        </w:rPr>
        <w:t>most</w:t>
      </w:r>
      <w:r w:rsidR="009E737B" w:rsidRPr="00612C49">
        <w:rPr>
          <w:rFonts w:ascii="Times New Roman" w:eastAsia="Times New Roman" w:hAnsi="Times New Roman" w:cs="Times New Roman"/>
          <w:sz w:val="24"/>
          <w:szCs w:val="24"/>
        </w:rPr>
        <w:t xml:space="preserve"> firms within a</w:t>
      </w:r>
      <w:r w:rsidR="006B598E" w:rsidRPr="00612C49">
        <w:rPr>
          <w:rFonts w:ascii="Times New Roman" w:eastAsia="Times New Roman" w:hAnsi="Times New Roman" w:cs="Times New Roman"/>
          <w:sz w:val="24"/>
          <w:szCs w:val="24"/>
        </w:rPr>
        <w:t xml:space="preserve"> </w:t>
      </w:r>
      <w:r w:rsidR="009E737B" w:rsidRPr="00612C49">
        <w:rPr>
          <w:rFonts w:ascii="Times New Roman" w:eastAsia="Times New Roman" w:hAnsi="Times New Roman" w:cs="Times New Roman"/>
          <w:sz w:val="24"/>
          <w:szCs w:val="24"/>
        </w:rPr>
        <w:t>study’s sample would perform below this group, explaining the heterogeneity of this effect.</w:t>
      </w:r>
      <w:r w:rsidR="00701DCE" w:rsidRPr="00612C49">
        <w:rPr>
          <w:rFonts w:ascii="Times New Roman" w:eastAsia="Times New Roman" w:hAnsi="Times New Roman" w:cs="Times New Roman"/>
          <w:sz w:val="24"/>
          <w:szCs w:val="24"/>
        </w:rPr>
        <w:t xml:space="preserve"> Moreover, we only have a small number of </w:t>
      </w:r>
      <w:r w:rsidR="00C62424" w:rsidRPr="00612C49">
        <w:rPr>
          <w:rFonts w:ascii="Times New Roman" w:eastAsia="Times New Roman" w:hAnsi="Times New Roman" w:cs="Times New Roman"/>
          <w:sz w:val="24"/>
          <w:szCs w:val="24"/>
        </w:rPr>
        <w:t xml:space="preserve">PFT </w:t>
      </w:r>
      <w:r w:rsidR="00701DCE" w:rsidRPr="00612C49">
        <w:rPr>
          <w:rFonts w:ascii="Times New Roman" w:eastAsia="Times New Roman" w:hAnsi="Times New Roman" w:cs="Times New Roman"/>
          <w:sz w:val="24"/>
          <w:szCs w:val="24"/>
        </w:rPr>
        <w:t xml:space="preserve">studies </w:t>
      </w:r>
      <w:r w:rsidR="00C62424" w:rsidRPr="00612C49">
        <w:rPr>
          <w:rFonts w:ascii="Times New Roman" w:eastAsia="Times New Roman" w:hAnsi="Times New Roman" w:cs="Times New Roman"/>
          <w:sz w:val="24"/>
          <w:szCs w:val="24"/>
        </w:rPr>
        <w:t>that include a</w:t>
      </w:r>
      <w:r w:rsidR="00701DCE" w:rsidRPr="00612C49">
        <w:rPr>
          <w:rFonts w:ascii="Times New Roman" w:eastAsia="Times New Roman" w:hAnsi="Times New Roman" w:cs="Times New Roman"/>
          <w:sz w:val="24"/>
          <w:szCs w:val="24"/>
        </w:rPr>
        <w:t xml:space="preserve"> self-improvement group, which would</w:t>
      </w:r>
      <w:r w:rsidR="00DB08DC" w:rsidRPr="00612C49">
        <w:rPr>
          <w:rFonts w:ascii="Times New Roman" w:eastAsia="Times New Roman" w:hAnsi="Times New Roman" w:cs="Times New Roman"/>
          <w:sz w:val="24"/>
          <w:szCs w:val="24"/>
        </w:rPr>
        <w:t xml:space="preserve"> also</w:t>
      </w:r>
      <w:r w:rsidR="00701DCE" w:rsidRPr="00612C49">
        <w:rPr>
          <w:rFonts w:ascii="Times New Roman" w:eastAsia="Times New Roman" w:hAnsi="Times New Roman" w:cs="Times New Roman"/>
          <w:sz w:val="24"/>
          <w:szCs w:val="24"/>
        </w:rPr>
        <w:t xml:space="preserve"> impact the meta-analytic effect size for this subsample. </w:t>
      </w:r>
      <w:r w:rsidR="00750C42" w:rsidRPr="00C21A32">
        <w:rPr>
          <w:rFonts w:ascii="Times New Roman" w:eastAsia="Times New Roman" w:hAnsi="Times New Roman" w:cs="Times New Roman"/>
          <w:sz w:val="24"/>
          <w:szCs w:val="24"/>
        </w:rPr>
        <w:t xml:space="preserve">In addition, our results </w:t>
      </w:r>
      <w:r w:rsidR="00750C42">
        <w:rPr>
          <w:rFonts w:ascii="Times New Roman" w:eastAsia="Times New Roman" w:hAnsi="Times New Roman" w:cs="Times New Roman"/>
          <w:sz w:val="24"/>
          <w:szCs w:val="24"/>
        </w:rPr>
        <w:t xml:space="preserve">suggest a need for change in the modeling </w:t>
      </w:r>
      <w:r w:rsidR="00750C42">
        <w:rPr>
          <w:rFonts w:ascii="Times New Roman" w:eastAsia="Times New Roman" w:hAnsi="Times New Roman" w:cs="Times New Roman"/>
          <w:sz w:val="24"/>
          <w:szCs w:val="24"/>
        </w:rPr>
        <w:lastRenderedPageBreak/>
        <w:t xml:space="preserve">of motives. </w:t>
      </w:r>
      <w:r w:rsidR="004F435B">
        <w:rPr>
          <w:rFonts w:ascii="Times New Roman" w:eastAsia="Times New Roman" w:hAnsi="Times New Roman" w:cs="Times New Roman"/>
          <w:sz w:val="24"/>
          <w:szCs w:val="24"/>
        </w:rPr>
        <w:t>While</w:t>
      </w:r>
      <w:r w:rsidR="00750C42">
        <w:rPr>
          <w:rFonts w:ascii="Times New Roman" w:eastAsia="Times New Roman" w:hAnsi="Times New Roman" w:cs="Times New Roman"/>
          <w:sz w:val="24"/>
          <w:szCs w:val="24"/>
        </w:rPr>
        <w:t xml:space="preserve"> </w:t>
      </w:r>
      <w:r w:rsidR="00750C42">
        <w:rPr>
          <w:rFonts w:ascii="Times New Roman" w:eastAsia="Times New Roman" w:hAnsi="Times New Roman" w:cs="Times New Roman"/>
          <w:noProof/>
          <w:sz w:val="24"/>
          <w:szCs w:val="24"/>
        </w:rPr>
        <w:t>Audia and Greve (2020)</w:t>
      </w:r>
      <w:r w:rsidR="00750C42">
        <w:rPr>
          <w:rFonts w:ascii="Times New Roman" w:eastAsia="Times New Roman" w:hAnsi="Times New Roman" w:cs="Times New Roman"/>
          <w:sz w:val="24"/>
          <w:szCs w:val="24"/>
        </w:rPr>
        <w:t xml:space="preserve"> modeled motives as moderator variables, we suggest that researchers consider modeling motives as endogenous variables, since the formation of the aspiration is driven by these motives and therefore a part of the performance feedback process.</w:t>
      </w:r>
    </w:p>
    <w:p w14:paraId="44A41956" w14:textId="77777777" w:rsidR="00750C42" w:rsidRDefault="00750C42" w:rsidP="0057655F">
      <w:pPr>
        <w:spacing w:line="480" w:lineRule="auto"/>
        <w:ind w:firstLine="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In order to</w:t>
      </w:r>
      <w:proofErr w:type="gramEnd"/>
      <w:r>
        <w:rPr>
          <w:rFonts w:ascii="Times New Roman" w:eastAsia="Times New Roman" w:hAnsi="Times New Roman" w:cs="Times New Roman"/>
          <w:sz w:val="24"/>
          <w:szCs w:val="24"/>
        </w:rPr>
        <w:t xml:space="preserve"> summarize our theorizing beyond the two motives tested in this paper and develop future avenues for research, we present our Integrated Conceptual Model in the following section. </w:t>
      </w:r>
    </w:p>
    <w:p w14:paraId="666CDF31" w14:textId="77777777" w:rsidR="00750C42" w:rsidRDefault="00750C42" w:rsidP="0057655F">
      <w:pPr>
        <w:spacing w:line="48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Integrated Conceptual Model </w:t>
      </w:r>
    </w:p>
    <w:p w14:paraId="79BB4AAA" w14:textId="71C32B73" w:rsidR="00750C42" w:rsidRDefault="00750C42">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Figure 1 presents an integrated conceptual model that summarizes our hypotheses, findings, and propositions for future research. In this integrated model we include all four motives of the Self-Evaluation Theory </w:t>
      </w:r>
      <w:r>
        <w:rPr>
          <w:rFonts w:ascii="Times New Roman" w:eastAsia="Times New Roman" w:hAnsi="Times New Roman" w:cs="Times New Roman"/>
          <w:noProof/>
          <w:sz w:val="24"/>
          <w:szCs w:val="24"/>
        </w:rPr>
        <w:t>(Sedikides and Strube, 1997)</w:t>
      </w:r>
      <w:r>
        <w:rPr>
          <w:rFonts w:ascii="Times New Roman" w:eastAsia="Times New Roman" w:hAnsi="Times New Roman" w:cs="Times New Roman"/>
          <w:sz w:val="24"/>
          <w:szCs w:val="24"/>
        </w:rPr>
        <w:t>. The top half of Figure 1</w:t>
      </w:r>
      <w:r w:rsidR="0023105E">
        <w:rPr>
          <w:rFonts w:ascii="Times New Roman" w:eastAsia="Times New Roman" w:hAnsi="Times New Roman" w:cs="Times New Roman"/>
          <w:sz w:val="24"/>
          <w:szCs w:val="24"/>
        </w:rPr>
        <w:t xml:space="preserve"> (a)</w:t>
      </w:r>
      <w:r>
        <w:rPr>
          <w:rFonts w:ascii="Times New Roman" w:eastAsia="Times New Roman" w:hAnsi="Times New Roman" w:cs="Times New Roman"/>
          <w:sz w:val="24"/>
          <w:szCs w:val="24"/>
        </w:rPr>
        <w:t xml:space="preserve"> depicts the effect of the two motives we tested in our study (self-assessment and self-improvement). At the bottom</w:t>
      </w:r>
      <w:r w:rsidR="0023105E">
        <w:rPr>
          <w:rFonts w:ascii="Times New Roman" w:eastAsia="Times New Roman" w:hAnsi="Times New Roman" w:cs="Times New Roman"/>
          <w:sz w:val="24"/>
          <w:szCs w:val="24"/>
        </w:rPr>
        <w:t xml:space="preserve"> (b)</w:t>
      </w:r>
      <w:r>
        <w:rPr>
          <w:rFonts w:ascii="Times New Roman" w:eastAsia="Times New Roman" w:hAnsi="Times New Roman" w:cs="Times New Roman"/>
          <w:sz w:val="24"/>
          <w:szCs w:val="24"/>
        </w:rPr>
        <w:t>, we outline the anticipated effects for two additional motives (self-enhancement and self-verification). Albeit the latter two motives are not testable with a meta-analysis at this point due to limited availability of studies</w:t>
      </w:r>
      <w:r>
        <w:rPr>
          <w:rStyle w:val="EndnoteReference"/>
          <w:rFonts w:ascii="Times New Roman" w:eastAsia="Times New Roman" w:hAnsi="Times New Roman" w:cs="Times New Roman"/>
          <w:sz w:val="24"/>
          <w:szCs w:val="24"/>
        </w:rPr>
        <w:endnoteReference w:id="8"/>
      </w:r>
      <w:r>
        <w:rPr>
          <w:rFonts w:ascii="Times New Roman" w:eastAsia="Times New Roman" w:hAnsi="Times New Roman" w:cs="Times New Roman"/>
          <w:sz w:val="24"/>
          <w:szCs w:val="24"/>
        </w:rPr>
        <w:t xml:space="preserve">, we develop propositions regarding their effects on organizational responses for further research in the following section. </w:t>
      </w:r>
    </w:p>
    <w:p w14:paraId="459ADC51" w14:textId="77777777" w:rsidR="002E344D" w:rsidRDefault="002E344D" w:rsidP="002E344D">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Proposition Development</w:t>
      </w:r>
    </w:p>
    <w:p w14:paraId="6102F567" w14:textId="77777777" w:rsidR="002E344D" w:rsidRDefault="0057399D" w:rsidP="002E344D">
      <w:pPr>
        <w:spacing w:line="480" w:lineRule="auto"/>
        <w:rPr>
          <w:rFonts w:ascii="Times New Roman" w:eastAsia="Times New Roman" w:hAnsi="Times New Roman" w:cs="Times New Roman"/>
          <w:b/>
          <w:i/>
          <w:sz w:val="24"/>
          <w:szCs w:val="24"/>
        </w:rPr>
      </w:pPr>
      <w:sdt>
        <w:sdtPr>
          <w:tag w:val="goog_rdk_10"/>
          <w:id w:val="2026668220"/>
        </w:sdtPr>
        <w:sdtEndPr/>
        <w:sdtContent/>
      </w:sdt>
      <w:r w:rsidR="002E344D">
        <w:rPr>
          <w:rFonts w:ascii="Times New Roman" w:eastAsia="Times New Roman" w:hAnsi="Times New Roman" w:cs="Times New Roman"/>
          <w:b/>
          <w:sz w:val="24"/>
          <w:szCs w:val="24"/>
        </w:rPr>
        <w:t>S</w:t>
      </w:r>
      <w:r w:rsidR="002E344D">
        <w:rPr>
          <w:rFonts w:ascii="Times New Roman" w:eastAsia="Times New Roman" w:hAnsi="Times New Roman" w:cs="Times New Roman"/>
          <w:b/>
          <w:sz w:val="24"/>
          <w:szCs w:val="24"/>
          <w:highlight w:val="white"/>
        </w:rPr>
        <w:t>elf-enhancement groups and performance below aspirations</w:t>
      </w:r>
    </w:p>
    <w:p w14:paraId="498D526D" w14:textId="77777777" w:rsidR="002E344D" w:rsidRDefault="002E344D" w:rsidP="002E344D">
      <w:p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Organizational decision-makers select members of the self-enhancement group with the objective of maintaining their organization’s positive self-image. Building on important studies on self-enhancement </w:t>
      </w:r>
      <w:r>
        <w:rPr>
          <w:rFonts w:ascii="Times New Roman" w:eastAsia="Times New Roman" w:hAnsi="Times New Roman" w:cs="Times New Roman"/>
          <w:noProof/>
          <w:sz w:val="24"/>
          <w:szCs w:val="24"/>
        </w:rPr>
        <w:t>(Audia and Brion, 2007, Audia et al., 2015)</w:t>
      </w:r>
      <w:r>
        <w:rPr>
          <w:rFonts w:ascii="Times New Roman" w:eastAsia="Times New Roman" w:hAnsi="Times New Roman" w:cs="Times New Roman"/>
          <w:sz w:val="24"/>
          <w:szCs w:val="24"/>
        </w:rPr>
        <w:t xml:space="preserve">, we argue that firms that perform below their self-enhancement group will continue to engage in positive self-appraisal by distorting (negative) performance feedback through self-serving attributions. This, in turn, will inhibit learning from performance feedback </w:t>
      </w:r>
      <w:r>
        <w:rPr>
          <w:rFonts w:ascii="Times New Roman" w:eastAsia="Times New Roman" w:hAnsi="Times New Roman" w:cs="Times New Roman"/>
          <w:noProof/>
          <w:sz w:val="24"/>
          <w:szCs w:val="24"/>
        </w:rPr>
        <w:t>(Jordan and Audia, 2012)</w:t>
      </w:r>
      <w:r>
        <w:rPr>
          <w:rFonts w:ascii="Times New Roman" w:eastAsia="Times New Roman" w:hAnsi="Times New Roman" w:cs="Times New Roman"/>
          <w:sz w:val="24"/>
          <w:szCs w:val="24"/>
        </w:rPr>
        <w:t>. In line with the self-</w:t>
      </w:r>
      <w:r>
        <w:rPr>
          <w:rFonts w:ascii="Times New Roman" w:eastAsia="Times New Roman" w:hAnsi="Times New Roman" w:cs="Times New Roman"/>
          <w:sz w:val="24"/>
          <w:szCs w:val="24"/>
        </w:rPr>
        <w:lastRenderedPageBreak/>
        <w:t xml:space="preserve">enhancement motive, organizations may retrospectively revise their reference group selection by comparing themselves to even lower performing reference groups </w:t>
      </w:r>
      <w:r>
        <w:rPr>
          <w:rFonts w:ascii="Times New Roman" w:eastAsia="Times New Roman" w:hAnsi="Times New Roman" w:cs="Times New Roman"/>
          <w:noProof/>
          <w:sz w:val="24"/>
          <w:szCs w:val="24"/>
        </w:rPr>
        <w:t>(Jordan and Audia, 2012, Lee et al., 2020, Wills, 1981)</w:t>
      </w:r>
      <w:r>
        <w:rPr>
          <w:rFonts w:ascii="Times New Roman" w:eastAsia="Times New Roman" w:hAnsi="Times New Roman" w:cs="Times New Roman"/>
          <w:sz w:val="24"/>
          <w:szCs w:val="24"/>
        </w:rPr>
        <w:t xml:space="preserve">. Such self-enhancement mechanisms have been associated with weaker organizational responses </w:t>
      </w:r>
      <w:r>
        <w:rPr>
          <w:rFonts w:ascii="Times New Roman" w:eastAsia="Times New Roman" w:hAnsi="Times New Roman" w:cs="Times New Roman"/>
          <w:noProof/>
          <w:sz w:val="24"/>
          <w:szCs w:val="24"/>
        </w:rPr>
        <w:t>(Audia et al., 2015)</w:t>
      </w:r>
      <w:r>
        <w:rPr>
          <w:rFonts w:ascii="Times New Roman" w:eastAsia="Times New Roman" w:hAnsi="Times New Roman" w:cs="Times New Roman"/>
          <w:sz w:val="24"/>
          <w:szCs w:val="24"/>
        </w:rPr>
        <w:t>. We propose:</w:t>
      </w:r>
    </w:p>
    <w:p w14:paraId="4D9FE98D" w14:textId="77777777" w:rsidR="002E344D" w:rsidRDefault="002E344D" w:rsidP="002E344D">
      <w:pPr>
        <w:spacing w:line="480" w:lineRule="auto"/>
        <w:ind w:left="720" w:right="720"/>
        <w:rPr>
          <w:rFonts w:ascii="Times New Roman" w:eastAsia="Times New Roman" w:hAnsi="Times New Roman" w:cs="Times New Roman"/>
          <w:b/>
          <w:sz w:val="24"/>
          <w:szCs w:val="24"/>
        </w:rPr>
      </w:pPr>
      <w:r>
        <w:rPr>
          <w:rFonts w:ascii="Times New Roman" w:eastAsia="Times New Roman" w:hAnsi="Times New Roman" w:cs="Times New Roman"/>
          <w:b/>
          <w:i/>
          <w:sz w:val="24"/>
          <w:szCs w:val="24"/>
        </w:rPr>
        <w:t xml:space="preserve">Proposition 1a: </w:t>
      </w:r>
      <w:r>
        <w:rPr>
          <w:rFonts w:ascii="Times New Roman" w:eastAsia="Times New Roman" w:hAnsi="Times New Roman" w:cs="Times New Roman"/>
          <w:i/>
          <w:sz w:val="24"/>
          <w:szCs w:val="24"/>
        </w:rPr>
        <w:t>As performance decreases further below self-enhancement group aspiration, the organizational response decreases.</w:t>
      </w:r>
    </w:p>
    <w:p w14:paraId="714A2FCC" w14:textId="77777777" w:rsidR="002E344D" w:rsidRDefault="002E344D" w:rsidP="002E344D">
      <w:pPr>
        <w:spacing w:line="480" w:lineRule="auto"/>
        <w:ind w:righ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self-verification motive renders decision-makers receptive to feedback consistent with their self-concept </w:t>
      </w:r>
      <w:r>
        <w:rPr>
          <w:rFonts w:ascii="Times New Roman" w:eastAsia="Times New Roman" w:hAnsi="Times New Roman" w:cs="Times New Roman"/>
          <w:noProof/>
          <w:sz w:val="24"/>
          <w:szCs w:val="24"/>
        </w:rPr>
        <w:t>(Sedikides and Strube, 1997, Swann Jr, 1983, Swann Jr and Read, 1981)</w:t>
      </w:r>
      <w:r>
        <w:rPr>
          <w:rFonts w:ascii="Times New Roman" w:eastAsia="Times New Roman" w:hAnsi="Times New Roman" w:cs="Times New Roman"/>
          <w:sz w:val="24"/>
          <w:szCs w:val="24"/>
        </w:rPr>
        <w:t xml:space="preserve">. Therefore, we expect that under this motive decision-makers select referent organizations that resemble their own organization (e.g., similar firm characteristics and performance levels). Due to this resemblance with the self, firms will strongly identify with this reference group, rendering it highly influential for their decision-making. Decision-makers whose organizations perform below their self-verification group will likely be concerned and experience dissonance with regards to this negative feedback </w:t>
      </w:r>
      <w:r>
        <w:rPr>
          <w:rFonts w:ascii="Times New Roman" w:eastAsia="Times New Roman" w:hAnsi="Times New Roman" w:cs="Times New Roman"/>
          <w:noProof/>
          <w:sz w:val="24"/>
          <w:szCs w:val="24"/>
        </w:rPr>
        <w:t>(Swann Jr and Read, 1981)</w:t>
      </w:r>
      <w:r>
        <w:rPr>
          <w:rFonts w:ascii="Times New Roman" w:eastAsia="Times New Roman" w:hAnsi="Times New Roman" w:cs="Times New Roman"/>
          <w:sz w:val="24"/>
          <w:szCs w:val="24"/>
        </w:rPr>
        <w:t xml:space="preserve"> and show strong responses to reduce this performance gap that threatens their identity and self-consistency. Thus, we propose:</w:t>
      </w:r>
    </w:p>
    <w:p w14:paraId="4618A8E8" w14:textId="77777777" w:rsidR="002E344D" w:rsidRDefault="002E344D" w:rsidP="002E344D">
      <w:pPr>
        <w:spacing w:line="480" w:lineRule="auto"/>
        <w:ind w:left="720" w:right="720"/>
        <w:rPr>
          <w:rFonts w:ascii="Times New Roman" w:eastAsia="Times New Roman" w:hAnsi="Times New Roman" w:cs="Times New Roman"/>
          <w:i/>
          <w:sz w:val="24"/>
          <w:szCs w:val="24"/>
        </w:rPr>
      </w:pPr>
      <w:r>
        <w:rPr>
          <w:rFonts w:ascii="Times New Roman" w:eastAsia="Times New Roman" w:hAnsi="Times New Roman" w:cs="Times New Roman"/>
          <w:b/>
          <w:i/>
          <w:sz w:val="24"/>
          <w:szCs w:val="24"/>
        </w:rPr>
        <w:t xml:space="preserve">Proposition 1b: </w:t>
      </w:r>
      <w:r>
        <w:rPr>
          <w:rFonts w:ascii="Times New Roman" w:eastAsia="Times New Roman" w:hAnsi="Times New Roman" w:cs="Times New Roman"/>
          <w:i/>
          <w:sz w:val="24"/>
          <w:szCs w:val="24"/>
        </w:rPr>
        <w:t>As performance decreases further below self-verification group aspiration, the organizational response increases.</w:t>
      </w:r>
    </w:p>
    <w:p w14:paraId="0AF008E5" w14:textId="3591E181" w:rsidR="00EC7E61" w:rsidRDefault="00EC7E61">
      <w:pPr>
        <w:spacing w:line="480" w:lineRule="auto"/>
        <w:rPr>
          <w:rFonts w:ascii="Times New Roman" w:eastAsia="Times New Roman" w:hAnsi="Times New Roman" w:cs="Times New Roman"/>
          <w:sz w:val="24"/>
          <w:szCs w:val="24"/>
        </w:rPr>
      </w:pPr>
    </w:p>
    <w:p w14:paraId="3884E110" w14:textId="621D8EC2" w:rsidR="00EC7E61" w:rsidRDefault="00EC7E61">
      <w:pPr>
        <w:spacing w:line="480" w:lineRule="auto"/>
        <w:rPr>
          <w:rFonts w:ascii="Times New Roman" w:eastAsia="Times New Roman" w:hAnsi="Times New Roman" w:cs="Times New Roman"/>
          <w:sz w:val="24"/>
          <w:szCs w:val="24"/>
        </w:rPr>
      </w:pPr>
    </w:p>
    <w:p w14:paraId="003818B8" w14:textId="0318F93A" w:rsidR="00AF334D" w:rsidRDefault="00AF334D">
      <w:pPr>
        <w:spacing w:line="480" w:lineRule="auto"/>
        <w:rPr>
          <w:rFonts w:ascii="Times New Roman" w:eastAsia="Times New Roman" w:hAnsi="Times New Roman" w:cs="Times New Roman"/>
          <w:sz w:val="24"/>
          <w:szCs w:val="24"/>
        </w:rPr>
      </w:pPr>
    </w:p>
    <w:p w14:paraId="4D0949EA" w14:textId="77777777" w:rsidR="002E344D" w:rsidRDefault="002E344D">
      <w:pPr>
        <w:spacing w:line="480" w:lineRule="auto"/>
        <w:rPr>
          <w:rFonts w:ascii="Times New Roman" w:eastAsia="Times New Roman" w:hAnsi="Times New Roman" w:cs="Times New Roman"/>
          <w:sz w:val="24"/>
          <w:szCs w:val="24"/>
        </w:rPr>
      </w:pPr>
    </w:p>
    <w:p w14:paraId="03D269B9" w14:textId="77777777" w:rsidR="00AF334D" w:rsidRDefault="00AF334D">
      <w:pPr>
        <w:spacing w:line="480" w:lineRule="auto"/>
        <w:rPr>
          <w:rFonts w:ascii="Times New Roman" w:eastAsia="Times New Roman" w:hAnsi="Times New Roman" w:cs="Times New Roman"/>
          <w:sz w:val="24"/>
          <w:szCs w:val="24"/>
        </w:rPr>
      </w:pPr>
    </w:p>
    <w:p w14:paraId="29F1F953" w14:textId="77777777" w:rsidR="00EC7E61" w:rsidRDefault="00EC7E61" w:rsidP="00EC7E61">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FIGURE 1.</w:t>
      </w:r>
    </w:p>
    <w:p w14:paraId="42F6B241" w14:textId="77777777" w:rsidR="00EC7E61" w:rsidRDefault="00EC7E61" w:rsidP="00EC7E61">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Integrated Conceptual Model</w:t>
      </w:r>
    </w:p>
    <w:p w14:paraId="439D47BA" w14:textId="7EB4DE72" w:rsidR="00EC7E61" w:rsidRDefault="00EC7E61" w:rsidP="00EC7E61">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0" distB="0" distL="0" distR="0" wp14:anchorId="4F51B6E4" wp14:editId="0CE22418">
            <wp:extent cx="5348177" cy="75233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6">
                      <a:extLst>
                        <a:ext uri="{28A0092B-C50C-407E-A947-70E740481C1C}">
                          <a14:useLocalDpi xmlns:a14="http://schemas.microsoft.com/office/drawing/2010/main" val="0"/>
                        </a:ext>
                      </a:extLst>
                    </a:blip>
                    <a:stretch>
                      <a:fillRect/>
                    </a:stretch>
                  </pic:blipFill>
                  <pic:spPr>
                    <a:xfrm>
                      <a:off x="0" y="0"/>
                      <a:ext cx="5351115" cy="7527453"/>
                    </a:xfrm>
                    <a:prstGeom prst="rect">
                      <a:avLst/>
                    </a:prstGeom>
                  </pic:spPr>
                </pic:pic>
              </a:graphicData>
            </a:graphic>
          </wp:inline>
        </w:drawing>
      </w:r>
    </w:p>
    <w:p w14:paraId="1B3CF754" w14:textId="77777777" w:rsidR="00750C42" w:rsidRDefault="00750C42">
      <w:pPr>
        <w:spacing w:line="480" w:lineRule="auto"/>
        <w:ind w:right="720"/>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Self-verification groups and performance below aspirations </w:t>
      </w:r>
    </w:p>
    <w:p w14:paraId="14E52821" w14:textId="1BF36A82" w:rsidR="00750C42" w:rsidRDefault="00750C42">
      <w:pPr>
        <w:spacing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Self-enhancement</w:t>
      </w:r>
      <w:r w:rsidR="00EE6AB7">
        <w:rPr>
          <w:rFonts w:ascii="Times New Roman" w:eastAsia="Times New Roman" w:hAnsi="Times New Roman" w:cs="Times New Roman"/>
          <w:b/>
          <w:sz w:val="24"/>
          <w:szCs w:val="24"/>
        </w:rPr>
        <w:t xml:space="preserve"> groups</w:t>
      </w:r>
      <w:r>
        <w:rPr>
          <w:rFonts w:ascii="Times New Roman" w:eastAsia="Times New Roman" w:hAnsi="Times New Roman" w:cs="Times New Roman"/>
          <w:b/>
          <w:sz w:val="24"/>
          <w:szCs w:val="24"/>
        </w:rPr>
        <w:t xml:space="preserve"> and performance above aspirations</w:t>
      </w:r>
    </w:p>
    <w:p w14:paraId="36413C87" w14:textId="77777777" w:rsidR="00750C42" w:rsidRDefault="00750C42">
      <w:pPr>
        <w:spacing w:line="480" w:lineRule="auto"/>
        <w:rPr>
          <w:rFonts w:ascii="Times New Roman" w:eastAsia="Times New Roman" w:hAnsi="Times New Roman" w:cs="Times New Roman"/>
          <w:i/>
          <w:sz w:val="24"/>
          <w:szCs w:val="24"/>
        </w:rPr>
      </w:pPr>
      <w:r>
        <w:rPr>
          <w:rFonts w:ascii="Times New Roman" w:eastAsia="Times New Roman" w:hAnsi="Times New Roman" w:cs="Times New Roman"/>
          <w:sz w:val="24"/>
          <w:szCs w:val="24"/>
        </w:rPr>
        <w:t xml:space="preserve">The positive feedback of outperforming their self-enhancement groups confirms decision-makers’ positive self-views. While decision-makers experience less desire to see themselves in a positive light than when their organization’s performance is below aspirations, they are motivated to see themselves as favorably as possible </w:t>
      </w:r>
      <w:r>
        <w:rPr>
          <w:rFonts w:ascii="Times New Roman" w:eastAsia="Times New Roman" w:hAnsi="Times New Roman" w:cs="Times New Roman"/>
          <w:noProof/>
          <w:sz w:val="24"/>
          <w:szCs w:val="24"/>
        </w:rPr>
        <w:t>(Jussim et al., 1995)</w:t>
      </w:r>
      <w:r>
        <w:rPr>
          <w:rFonts w:ascii="Times New Roman" w:eastAsia="Times New Roman" w:hAnsi="Times New Roman" w:cs="Times New Roman"/>
          <w:sz w:val="24"/>
          <w:szCs w:val="24"/>
        </w:rPr>
        <w:t xml:space="preserve">. Thus, they will likely augment the positive aspects of their performance. These favorable self-views will make decision-makers feel good </w:t>
      </w:r>
      <w:r>
        <w:rPr>
          <w:rFonts w:ascii="Times New Roman" w:eastAsia="Times New Roman" w:hAnsi="Times New Roman" w:cs="Times New Roman"/>
          <w:noProof/>
          <w:sz w:val="24"/>
          <w:szCs w:val="24"/>
        </w:rPr>
        <w:t>(Civettini, 2012, Sweeney and Wells, 1990)</w:t>
      </w:r>
      <w:r>
        <w:rPr>
          <w:rFonts w:ascii="Times New Roman" w:eastAsia="Times New Roman" w:hAnsi="Times New Roman" w:cs="Times New Roman"/>
          <w:sz w:val="24"/>
          <w:szCs w:val="24"/>
        </w:rPr>
        <w:t xml:space="preserve">. The affective state of contentedness and satisfaction will translate into complacent firm behavior, resulting in decreased organizational responses. Thus, we propose: </w:t>
      </w:r>
    </w:p>
    <w:p w14:paraId="7FBBC5E7" w14:textId="77777777" w:rsidR="00750C42" w:rsidRDefault="00750C42">
      <w:pPr>
        <w:spacing w:line="480" w:lineRule="auto"/>
        <w:ind w:left="720" w:right="720"/>
        <w:rPr>
          <w:rFonts w:ascii="Times New Roman" w:eastAsia="Times New Roman" w:hAnsi="Times New Roman" w:cs="Times New Roman"/>
          <w:b/>
          <w:sz w:val="24"/>
          <w:szCs w:val="24"/>
        </w:rPr>
      </w:pPr>
      <w:r>
        <w:rPr>
          <w:rFonts w:ascii="Times New Roman" w:eastAsia="Times New Roman" w:hAnsi="Times New Roman" w:cs="Times New Roman"/>
          <w:b/>
          <w:i/>
          <w:sz w:val="24"/>
          <w:szCs w:val="24"/>
        </w:rPr>
        <w:t>Proposition 2a:</w:t>
      </w:r>
      <w:r>
        <w:rPr>
          <w:rFonts w:ascii="Times New Roman" w:eastAsia="Times New Roman" w:hAnsi="Times New Roman" w:cs="Times New Roman"/>
          <w:i/>
          <w:sz w:val="24"/>
          <w:szCs w:val="24"/>
        </w:rPr>
        <w:t xml:space="preserve"> As performance increases further above self-enhancement group aspiration, the organizational response decreases.</w:t>
      </w:r>
    </w:p>
    <w:p w14:paraId="61A43E54" w14:textId="05731AE7" w:rsidR="00750C42" w:rsidRDefault="00750C42">
      <w:pPr>
        <w:spacing w:line="480" w:lineRule="auto"/>
        <w:ind w:right="720"/>
        <w:rPr>
          <w:rFonts w:ascii="Times New Roman" w:eastAsia="Times New Roman" w:hAnsi="Times New Roman" w:cs="Times New Roman"/>
          <w:sz w:val="24"/>
          <w:szCs w:val="24"/>
        </w:rPr>
      </w:pPr>
      <w:r>
        <w:rPr>
          <w:rFonts w:ascii="Times New Roman" w:eastAsia="Times New Roman" w:hAnsi="Times New Roman" w:cs="Times New Roman"/>
          <w:b/>
          <w:sz w:val="24"/>
          <w:szCs w:val="24"/>
        </w:rPr>
        <w:t>Self-verification</w:t>
      </w:r>
      <w:r w:rsidR="00EE6AB7">
        <w:rPr>
          <w:rFonts w:ascii="Times New Roman" w:eastAsia="Times New Roman" w:hAnsi="Times New Roman" w:cs="Times New Roman"/>
          <w:b/>
          <w:sz w:val="24"/>
          <w:szCs w:val="24"/>
        </w:rPr>
        <w:t xml:space="preserve"> groups</w:t>
      </w:r>
      <w:r>
        <w:rPr>
          <w:rFonts w:ascii="Times New Roman" w:eastAsia="Times New Roman" w:hAnsi="Times New Roman" w:cs="Times New Roman"/>
          <w:b/>
          <w:sz w:val="24"/>
          <w:szCs w:val="24"/>
        </w:rPr>
        <w:t xml:space="preserve"> and performance above aspirations </w:t>
      </w:r>
    </w:p>
    <w:p w14:paraId="74F80FD4" w14:textId="77777777" w:rsidR="00750C42" w:rsidRDefault="00750C42">
      <w:pPr>
        <w:spacing w:line="480" w:lineRule="auto"/>
        <w:ind w:right="720"/>
        <w:rPr>
          <w:rFonts w:ascii="Times New Roman" w:eastAsia="Times New Roman" w:hAnsi="Times New Roman" w:cs="Times New Roman"/>
          <w:i/>
          <w:sz w:val="24"/>
          <w:szCs w:val="24"/>
        </w:rPr>
      </w:pPr>
      <w:r>
        <w:rPr>
          <w:rFonts w:ascii="Times New Roman" w:eastAsia="Times New Roman" w:hAnsi="Times New Roman" w:cs="Times New Roman"/>
          <w:sz w:val="24"/>
          <w:szCs w:val="24"/>
        </w:rPr>
        <w:t xml:space="preserve">Due to their need to stabilize their self-view </w:t>
      </w:r>
      <w:r>
        <w:rPr>
          <w:rFonts w:ascii="Times New Roman" w:eastAsia="Times New Roman" w:hAnsi="Times New Roman" w:cs="Times New Roman"/>
          <w:noProof/>
          <w:sz w:val="24"/>
          <w:szCs w:val="24"/>
        </w:rPr>
        <w:t>(Swann Jr and Brooks, 2012)</w:t>
      </w:r>
      <w:r>
        <w:rPr>
          <w:rFonts w:ascii="Times New Roman" w:eastAsia="Times New Roman" w:hAnsi="Times New Roman" w:cs="Times New Roman"/>
          <w:sz w:val="24"/>
          <w:szCs w:val="24"/>
        </w:rPr>
        <w:t>, decision-makers are motivated to perform at a similar level as their self-verification group that they closely resemble and strongly identify with. Therefore, they will likely respond little when they outperform this highly influential group. More intense responses would only drive them away from this close reference group and, due to the strong self-consistency motive, organizational decision-makers are motivated to maintain their current performance. Therefore, we propose:</w:t>
      </w:r>
    </w:p>
    <w:p w14:paraId="6B8426C2" w14:textId="12C1FB64" w:rsidR="00750C42" w:rsidRDefault="00750C42">
      <w:pPr>
        <w:spacing w:line="480" w:lineRule="auto"/>
        <w:ind w:left="720" w:right="720"/>
        <w:rPr>
          <w:rFonts w:ascii="Times New Roman" w:eastAsia="Times New Roman" w:hAnsi="Times New Roman" w:cs="Times New Roman"/>
          <w:i/>
          <w:sz w:val="24"/>
          <w:szCs w:val="24"/>
        </w:rPr>
      </w:pPr>
      <w:r>
        <w:rPr>
          <w:rFonts w:ascii="Times New Roman" w:eastAsia="Times New Roman" w:hAnsi="Times New Roman" w:cs="Times New Roman"/>
          <w:b/>
          <w:i/>
          <w:sz w:val="24"/>
          <w:szCs w:val="24"/>
        </w:rPr>
        <w:t>Proposition 2b:</w:t>
      </w:r>
      <w:r>
        <w:rPr>
          <w:rFonts w:ascii="Times New Roman" w:eastAsia="Times New Roman" w:hAnsi="Times New Roman" w:cs="Times New Roman"/>
          <w:i/>
          <w:sz w:val="24"/>
          <w:szCs w:val="24"/>
        </w:rPr>
        <w:t xml:space="preserve"> As performance increases further above self-verification group aspiration, the organization response decreases.</w:t>
      </w:r>
    </w:p>
    <w:p w14:paraId="36D5F79B" w14:textId="77777777" w:rsidR="002E344D" w:rsidRDefault="002E344D">
      <w:pPr>
        <w:spacing w:line="480" w:lineRule="auto"/>
        <w:ind w:left="720" w:right="720"/>
        <w:rPr>
          <w:rFonts w:ascii="Times New Roman" w:eastAsia="Times New Roman" w:hAnsi="Times New Roman" w:cs="Times New Roman"/>
          <w:sz w:val="24"/>
          <w:szCs w:val="24"/>
        </w:rPr>
      </w:pPr>
    </w:p>
    <w:p w14:paraId="47CFCC4C" w14:textId="20BFF7D0" w:rsidR="00750C42" w:rsidRDefault="0057399D" w:rsidP="0057655F">
      <w:pPr>
        <w:spacing w:line="480" w:lineRule="auto"/>
        <w:rPr>
          <w:rFonts w:ascii="Times New Roman" w:eastAsia="Times New Roman" w:hAnsi="Times New Roman" w:cs="Times New Roman"/>
          <w:sz w:val="24"/>
          <w:szCs w:val="24"/>
        </w:rPr>
      </w:pPr>
      <w:sdt>
        <w:sdtPr>
          <w:tag w:val="goog_rdk_12"/>
          <w:id w:val="1595676606"/>
        </w:sdtPr>
        <w:sdtEndPr/>
        <w:sdtContent/>
      </w:sdt>
      <w:r w:rsidR="00750C42">
        <w:rPr>
          <w:rFonts w:ascii="Times New Roman" w:eastAsia="Times New Roman" w:hAnsi="Times New Roman" w:cs="Times New Roman"/>
          <w:b/>
          <w:sz w:val="24"/>
          <w:szCs w:val="24"/>
        </w:rPr>
        <w:t xml:space="preserve">Methodological Approach </w:t>
      </w:r>
      <w:r w:rsidR="00F81D02">
        <w:rPr>
          <w:rFonts w:ascii="Times New Roman" w:eastAsia="Times New Roman" w:hAnsi="Times New Roman" w:cs="Times New Roman"/>
          <w:b/>
          <w:sz w:val="24"/>
          <w:szCs w:val="24"/>
        </w:rPr>
        <w:t>for</w:t>
      </w:r>
      <w:r w:rsidR="00750C42">
        <w:rPr>
          <w:rFonts w:ascii="Times New Roman" w:eastAsia="Times New Roman" w:hAnsi="Times New Roman" w:cs="Times New Roman"/>
          <w:b/>
          <w:sz w:val="24"/>
          <w:szCs w:val="24"/>
        </w:rPr>
        <w:t xml:space="preserve"> Testing the Proposed Relationships</w:t>
      </w:r>
    </w:p>
    <w:p w14:paraId="09DD6823" w14:textId="77777777"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We believe that experiments are a particularly enticing methodology for demonstrating the causal mechanism underlying the proposed relationships (e.g., retrospective reference group selection in P1a). Using refined designs </w:t>
      </w:r>
      <w:r>
        <w:rPr>
          <w:rFonts w:ascii="Times New Roman" w:eastAsia="Times New Roman" w:hAnsi="Times New Roman" w:cs="Times New Roman"/>
          <w:noProof/>
          <w:sz w:val="24"/>
          <w:szCs w:val="24"/>
        </w:rPr>
        <w:t>(e.g., Audia and Brion, 2007, Audia et al., 2015, Smith and Chae, 2017)</w:t>
      </w:r>
      <w:r>
        <w:rPr>
          <w:rFonts w:ascii="Times New Roman" w:eastAsia="Times New Roman" w:hAnsi="Times New Roman" w:cs="Times New Roman"/>
          <w:sz w:val="24"/>
          <w:szCs w:val="24"/>
        </w:rPr>
        <w:t xml:space="preserve"> and the think aloud method </w:t>
      </w:r>
      <w:r>
        <w:rPr>
          <w:rFonts w:ascii="Times New Roman" w:eastAsia="Times New Roman" w:hAnsi="Times New Roman" w:cs="Times New Roman"/>
          <w:noProof/>
          <w:sz w:val="24"/>
          <w:szCs w:val="24"/>
        </w:rPr>
        <w:t>(Van Someren et al., 1994)</w:t>
      </w:r>
      <w:r>
        <w:rPr>
          <w:rFonts w:ascii="Times New Roman" w:eastAsia="Times New Roman" w:hAnsi="Times New Roman" w:cs="Times New Roman"/>
          <w:sz w:val="24"/>
          <w:szCs w:val="24"/>
        </w:rPr>
        <w:t xml:space="preserve"> to capture decision-makers’ thoughts and mood upon feedback receipt, experiments are uniquely positioned to examine the complex internal process of how managers make sense of the performance feedback. Experimenters can further assess subjects’ dispositional differences in preference for the self-verification motive </w:t>
      </w:r>
      <w:r>
        <w:rPr>
          <w:rFonts w:ascii="Times New Roman" w:eastAsia="Times New Roman" w:hAnsi="Times New Roman" w:cs="Times New Roman"/>
          <w:noProof/>
          <w:sz w:val="24"/>
          <w:szCs w:val="24"/>
        </w:rPr>
        <w:t>(Cable and Kay, 2012)</w:t>
      </w:r>
      <w:r>
        <w:rPr>
          <w:rFonts w:ascii="Times New Roman" w:eastAsia="Times New Roman" w:hAnsi="Times New Roman" w:cs="Times New Roman"/>
          <w:sz w:val="24"/>
          <w:szCs w:val="24"/>
        </w:rPr>
        <w:t xml:space="preserve"> and the self-enhancement motive </w:t>
      </w:r>
      <w:r>
        <w:rPr>
          <w:rFonts w:ascii="Times New Roman" w:eastAsia="Times New Roman" w:hAnsi="Times New Roman" w:cs="Times New Roman"/>
          <w:noProof/>
          <w:sz w:val="24"/>
          <w:szCs w:val="24"/>
        </w:rPr>
        <w:t>(Taylor et al., 2003)</w:t>
      </w:r>
      <w:r>
        <w:rPr>
          <w:rFonts w:ascii="Times New Roman" w:eastAsia="Times New Roman" w:hAnsi="Times New Roman" w:cs="Times New Roman"/>
          <w:sz w:val="24"/>
          <w:szCs w:val="24"/>
        </w:rPr>
        <w:t xml:space="preserve">. Researchers may also include relevant dispositions such as global self-esteem </w:t>
      </w:r>
      <w:r>
        <w:rPr>
          <w:rFonts w:ascii="Times New Roman" w:eastAsia="Times New Roman" w:hAnsi="Times New Roman" w:cs="Times New Roman"/>
          <w:noProof/>
          <w:sz w:val="24"/>
          <w:szCs w:val="24"/>
        </w:rPr>
        <w:t>(Brown et al., 2010)</w:t>
      </w:r>
      <w:r>
        <w:rPr>
          <w:rFonts w:ascii="Times New Roman" w:eastAsia="Times New Roman" w:hAnsi="Times New Roman" w:cs="Times New Roman"/>
          <w:sz w:val="24"/>
          <w:szCs w:val="24"/>
        </w:rPr>
        <w:t xml:space="preserve"> and other factors </w:t>
      </w:r>
      <w:r>
        <w:rPr>
          <w:rFonts w:ascii="Times New Roman" w:eastAsia="Times New Roman" w:hAnsi="Times New Roman" w:cs="Times New Roman"/>
          <w:noProof/>
          <w:sz w:val="24"/>
          <w:szCs w:val="24"/>
        </w:rPr>
        <w:t>(see Jordan and Audia, 2012)</w:t>
      </w:r>
      <w:r>
        <w:rPr>
          <w:rFonts w:ascii="Times New Roman" w:eastAsia="Times New Roman" w:hAnsi="Times New Roman" w:cs="Times New Roman"/>
          <w:sz w:val="24"/>
          <w:szCs w:val="24"/>
        </w:rPr>
        <w:t xml:space="preserve"> that are pertinent to the Self-Evaluation Theory. Researchers can also use validated priming methods for self-enhancement </w:t>
      </w:r>
      <w:r>
        <w:rPr>
          <w:rFonts w:ascii="Times New Roman" w:eastAsia="Times New Roman" w:hAnsi="Times New Roman" w:cs="Times New Roman"/>
          <w:noProof/>
          <w:sz w:val="24"/>
          <w:szCs w:val="24"/>
        </w:rPr>
        <w:t>(Audia and Brion, 2007, Audia et al., 2015)</w:t>
      </w:r>
      <w:r>
        <w:rPr>
          <w:rFonts w:ascii="Times New Roman" w:eastAsia="Times New Roman" w:hAnsi="Times New Roman" w:cs="Times New Roman"/>
          <w:sz w:val="24"/>
          <w:szCs w:val="24"/>
        </w:rPr>
        <w:t xml:space="preserve"> and self-verification </w:t>
      </w:r>
      <w:r>
        <w:rPr>
          <w:rFonts w:ascii="Times New Roman" w:eastAsia="Times New Roman" w:hAnsi="Times New Roman" w:cs="Times New Roman"/>
          <w:noProof/>
          <w:sz w:val="24"/>
          <w:szCs w:val="24"/>
        </w:rPr>
        <w:t>(Kraus and Chen, 2009)</w:t>
      </w:r>
      <w:r>
        <w:rPr>
          <w:rStyle w:val="EndnoteReference"/>
          <w:rFonts w:ascii="Times New Roman" w:eastAsia="Times New Roman" w:hAnsi="Times New Roman" w:cs="Times New Roman"/>
          <w:sz w:val="24"/>
          <w:szCs w:val="24"/>
        </w:rPr>
        <w:endnoteReference w:id="9"/>
      </w:r>
      <w:r>
        <w:rPr>
          <w:rFonts w:ascii="Times New Roman" w:eastAsia="Times New Roman" w:hAnsi="Times New Roman" w:cs="Times New Roman"/>
          <w:sz w:val="24"/>
          <w:szCs w:val="24"/>
        </w:rPr>
        <w:t xml:space="preserve"> to examine these manipulations affect the evaluation of performance on the groups based on these motives. </w:t>
      </w:r>
    </w:p>
    <w:p w14:paraId="0DF0C91B" w14:textId="77777777"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Beyond experiments, researchers could use surveys and interviews </w:t>
      </w:r>
      <w:r>
        <w:rPr>
          <w:rFonts w:ascii="Times New Roman" w:eastAsia="Times New Roman" w:hAnsi="Times New Roman" w:cs="Times New Roman"/>
          <w:noProof/>
          <w:sz w:val="24"/>
          <w:szCs w:val="24"/>
        </w:rPr>
        <w:t>(e.g., Shinkle et al., 2019, Shinkle and Kriauciunas, 2012)</w:t>
      </w:r>
      <w:r>
        <w:rPr>
          <w:rFonts w:ascii="Times New Roman" w:eastAsia="Times New Roman" w:hAnsi="Times New Roman" w:cs="Times New Roman"/>
          <w:sz w:val="24"/>
          <w:szCs w:val="24"/>
        </w:rPr>
        <w:t xml:space="preserve"> to test the propositions. Engaging with managers, researchers can directly examine their motives for selecting reference groups, the conditions under which the salience of the motive changes, and how these motives affect responses. We further see appeal in triangulating survey-based data with objective data of performance and organizational responses </w:t>
      </w:r>
      <w:r>
        <w:rPr>
          <w:rFonts w:ascii="Times New Roman" w:eastAsia="Times New Roman" w:hAnsi="Times New Roman" w:cs="Times New Roman"/>
          <w:noProof/>
          <w:sz w:val="24"/>
          <w:szCs w:val="24"/>
        </w:rPr>
        <w:t>(e.g., Saraf et al., 2021)</w:t>
      </w:r>
      <w:r>
        <w:rPr>
          <w:rFonts w:ascii="Times New Roman" w:eastAsia="Times New Roman" w:hAnsi="Times New Roman" w:cs="Times New Roman"/>
          <w:sz w:val="24"/>
          <w:szCs w:val="24"/>
        </w:rPr>
        <w:t xml:space="preserve"> to elucidate managers’ motives for selecting reference groups and their influence on observed action. </w:t>
      </w:r>
    </w:p>
    <w:p w14:paraId="695FC1BC" w14:textId="77777777"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Finally, using archival studies, authors can test the above propositions by forming a self-enhancement group (e.g., 10% lowest performing firms) and self-verification group (e.g., “historically based social aspiration threshold”, </w:t>
      </w:r>
      <w:r>
        <w:rPr>
          <w:rFonts w:ascii="Times New Roman" w:eastAsia="Times New Roman" w:hAnsi="Times New Roman" w:cs="Times New Roman"/>
          <w:noProof/>
          <w:sz w:val="24"/>
          <w:szCs w:val="24"/>
        </w:rPr>
        <w:t>(Moliterno et al., 2015)</w:t>
      </w:r>
      <w:r>
        <w:rPr>
          <w:rFonts w:ascii="Times New Roman" w:eastAsia="Times New Roman" w:hAnsi="Times New Roman" w:cs="Times New Roman"/>
          <w:sz w:val="24"/>
          <w:szCs w:val="24"/>
        </w:rPr>
        <w:t xml:space="preserve">). Alternatively, researchers could use peer group reporting in 10k reports </w:t>
      </w:r>
      <w:r>
        <w:rPr>
          <w:rFonts w:ascii="Times New Roman" w:eastAsia="Times New Roman" w:hAnsi="Times New Roman" w:cs="Times New Roman"/>
          <w:noProof/>
          <w:sz w:val="24"/>
          <w:szCs w:val="24"/>
        </w:rPr>
        <w:t>(Audia et al., 2021)</w:t>
      </w:r>
      <w:r>
        <w:rPr>
          <w:rFonts w:ascii="Times New Roman" w:eastAsia="Times New Roman" w:hAnsi="Times New Roman" w:cs="Times New Roman"/>
          <w:sz w:val="24"/>
          <w:szCs w:val="24"/>
        </w:rPr>
        <w:t xml:space="preserve"> or referents mentioned in CEOs’ letters to shareholders </w:t>
      </w:r>
      <w:r>
        <w:rPr>
          <w:rFonts w:ascii="Times New Roman" w:eastAsia="Times New Roman" w:hAnsi="Times New Roman" w:cs="Times New Roman"/>
          <w:noProof/>
          <w:sz w:val="24"/>
          <w:szCs w:val="24"/>
        </w:rPr>
        <w:t>(Short and Palmer, 2003)</w:t>
      </w:r>
      <w:r>
        <w:rPr>
          <w:rFonts w:ascii="Times New Roman" w:eastAsia="Times New Roman" w:hAnsi="Times New Roman" w:cs="Times New Roman"/>
          <w:sz w:val="24"/>
          <w:szCs w:val="24"/>
        </w:rPr>
        <w:t xml:space="preserve"> and transcripts of analyst calls to infer motives and relate those to organizational responses. </w:t>
      </w:r>
    </w:p>
    <w:p w14:paraId="19983A97" w14:textId="77777777" w:rsidR="00750C42" w:rsidRDefault="00750C42">
      <w:pPr>
        <w:spacing w:line="48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LIMITATIONS AND FUTURE RESEARCH</w:t>
      </w:r>
    </w:p>
    <w:p w14:paraId="000C7EE9" w14:textId="77777777" w:rsidR="00750C42" w:rsidRDefault="00750C42">
      <w:pPr>
        <w:spacing w:line="480" w:lineRule="auto"/>
        <w:ind w:firstLine="720"/>
        <w:rPr>
          <w:rFonts w:ascii="Times New Roman" w:eastAsia="Times New Roman" w:hAnsi="Times New Roman" w:cs="Times New Roman"/>
          <w:sz w:val="24"/>
          <w:szCs w:val="24"/>
          <w:highlight w:val="yellow"/>
        </w:rPr>
      </w:pPr>
      <w:r>
        <w:rPr>
          <w:rFonts w:ascii="Times New Roman" w:eastAsia="Times New Roman" w:hAnsi="Times New Roman" w:cs="Times New Roman"/>
          <w:sz w:val="24"/>
          <w:szCs w:val="24"/>
        </w:rPr>
        <w:t xml:space="preserve">Our research design allowed us to determine the effect of each motive-based reference group separately. Given that our results for differently motivated social reference groups at the meta-level are so clear, it will be important to examine social reference groups and motivations in greater depth. Since we are using a meta-analytic approach, our results are limited by the operationalizations of studies within our sample. Most of the studies (94%) in our sample use archival data, therefore our results may be impacted by the domination of archival studies over other study designs (i.e., surveys, interviews). This is particularly important for our research </w:t>
      </w:r>
      <w:proofErr w:type="gramStart"/>
      <w:r>
        <w:rPr>
          <w:rFonts w:ascii="Times New Roman" w:eastAsia="Times New Roman" w:hAnsi="Times New Roman" w:cs="Times New Roman"/>
          <w:sz w:val="24"/>
          <w:szCs w:val="24"/>
        </w:rPr>
        <w:t>question, since</w:t>
      </w:r>
      <w:proofErr w:type="gramEnd"/>
      <w:r>
        <w:rPr>
          <w:rFonts w:ascii="Times New Roman" w:eastAsia="Times New Roman" w:hAnsi="Times New Roman" w:cs="Times New Roman"/>
          <w:sz w:val="24"/>
          <w:szCs w:val="24"/>
        </w:rPr>
        <w:t xml:space="preserve"> some self-evaluation motives may not be fully captured through archival data</w:t>
      </w:r>
      <w:r>
        <w:rPr>
          <w:rStyle w:val="EndnoteReference"/>
          <w:rFonts w:ascii="Times New Roman" w:eastAsia="Times New Roman" w:hAnsi="Times New Roman" w:cs="Times New Roman"/>
          <w:sz w:val="24"/>
          <w:szCs w:val="24"/>
        </w:rPr>
        <w:endnoteReference w:id="10"/>
      </w:r>
      <w:r>
        <w:rPr>
          <w:rFonts w:ascii="Times New Roman" w:eastAsia="Times New Roman" w:hAnsi="Times New Roman" w:cs="Times New Roman"/>
          <w:sz w:val="24"/>
          <w:szCs w:val="24"/>
        </w:rPr>
        <w:t xml:space="preserve">. In addition to the methodological limitations, our study has two conceptual limitations that also demonstrate promising areas for future research: First, firms may attend to multiple reference groups simultaneously. Therefore, it will be important to continue examining how firms attend to multiple reference groups </w:t>
      </w:r>
      <w:r>
        <w:rPr>
          <w:rFonts w:ascii="Times New Roman" w:eastAsia="Times New Roman" w:hAnsi="Times New Roman" w:cs="Times New Roman"/>
          <w:noProof/>
          <w:sz w:val="24"/>
          <w:szCs w:val="24"/>
        </w:rPr>
        <w:t>(Gaba and Greve, 2019, Hu et al., 2017, Kacperczyk et al., 2015)</w:t>
      </w:r>
      <w:r>
        <w:rPr>
          <w:rFonts w:ascii="Times New Roman" w:eastAsia="Times New Roman" w:hAnsi="Times New Roman" w:cs="Times New Roman"/>
          <w:sz w:val="24"/>
          <w:szCs w:val="24"/>
        </w:rPr>
        <w:t xml:space="preserve"> and why and when they switch among them </w:t>
      </w:r>
      <w:r>
        <w:rPr>
          <w:rFonts w:ascii="Times New Roman" w:eastAsia="Times New Roman" w:hAnsi="Times New Roman" w:cs="Times New Roman"/>
          <w:noProof/>
          <w:sz w:val="24"/>
          <w:szCs w:val="24"/>
        </w:rPr>
        <w:t>(Lee et al., 2020)</w:t>
      </w:r>
      <w:r>
        <w:rPr>
          <w:rFonts w:ascii="Times New Roman" w:eastAsia="Times New Roman" w:hAnsi="Times New Roman" w:cs="Times New Roman"/>
          <w:sz w:val="24"/>
          <w:szCs w:val="24"/>
        </w:rPr>
        <w:t xml:space="preserve">. Second, firms may form a reference group that simultaneously caters to multiple motives. Since decision-makers may activate multiple motives simultaneously </w:t>
      </w:r>
      <w:r>
        <w:rPr>
          <w:rFonts w:ascii="Times New Roman" w:eastAsia="Times New Roman" w:hAnsi="Times New Roman" w:cs="Times New Roman"/>
          <w:noProof/>
          <w:sz w:val="24"/>
          <w:szCs w:val="24"/>
        </w:rPr>
        <w:t>(Audia et al., 2015, Sweeney and Wells, 1990)</w:t>
      </w:r>
      <w:r>
        <w:rPr>
          <w:rFonts w:ascii="Times New Roman" w:eastAsia="Times New Roman" w:hAnsi="Times New Roman" w:cs="Times New Roman"/>
          <w:sz w:val="24"/>
          <w:szCs w:val="24"/>
        </w:rPr>
        <w:t xml:space="preserve">, we believe that it would be interesting to undertake inductive research to elucidate multiple, </w:t>
      </w:r>
      <w:proofErr w:type="gramStart"/>
      <w:r>
        <w:rPr>
          <w:rFonts w:ascii="Times New Roman" w:eastAsia="Times New Roman" w:hAnsi="Times New Roman" w:cs="Times New Roman"/>
          <w:sz w:val="24"/>
          <w:szCs w:val="24"/>
        </w:rPr>
        <w:t>complementary</w:t>
      </w:r>
      <w:proofErr w:type="gramEnd"/>
      <w:r>
        <w:rPr>
          <w:rFonts w:ascii="Times New Roman" w:eastAsia="Times New Roman" w:hAnsi="Times New Roman" w:cs="Times New Roman"/>
          <w:sz w:val="24"/>
          <w:szCs w:val="24"/>
        </w:rPr>
        <w:t xml:space="preserve"> or </w:t>
      </w:r>
      <w:r>
        <w:rPr>
          <w:rFonts w:ascii="Times New Roman" w:eastAsia="Times New Roman" w:hAnsi="Times New Roman" w:cs="Times New Roman"/>
          <w:sz w:val="24"/>
          <w:szCs w:val="24"/>
        </w:rPr>
        <w:lastRenderedPageBreak/>
        <w:t xml:space="preserve">conflicting motives for the selection of reference groups. While some motives are more closely related (e.g., self-assessment and self-verification), others create tension (e.g., self-enhancement vs. self-verification, </w:t>
      </w:r>
      <w:r>
        <w:rPr>
          <w:rFonts w:ascii="Times New Roman" w:eastAsia="Times New Roman" w:hAnsi="Times New Roman" w:cs="Times New Roman"/>
          <w:noProof/>
          <w:sz w:val="24"/>
          <w:szCs w:val="24"/>
        </w:rPr>
        <w:t>(Swann Jr et al., 1987)</w:t>
      </w:r>
      <w:r>
        <w:rPr>
          <w:rFonts w:ascii="Times New Roman" w:eastAsia="Times New Roman" w:hAnsi="Times New Roman" w:cs="Times New Roman"/>
          <w:sz w:val="24"/>
          <w:szCs w:val="24"/>
        </w:rPr>
        <w:t xml:space="preserve">). </w:t>
      </w:r>
    </w:p>
    <w:p w14:paraId="7A6D7221" w14:textId="77777777"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Moreover, we see great potential in further exploring top executives’ intrinsic and extrinsic motivation to select and respond to reference groups. In terms of intrinsic motivation, key decision-makers with a growth mindset </w:t>
      </w:r>
      <w:r>
        <w:rPr>
          <w:rFonts w:ascii="Times New Roman" w:eastAsia="Times New Roman" w:hAnsi="Times New Roman" w:cs="Times New Roman"/>
          <w:noProof/>
          <w:sz w:val="24"/>
          <w:szCs w:val="24"/>
        </w:rPr>
        <w:t>(Dweck, 2006)</w:t>
      </w:r>
      <w:r>
        <w:rPr>
          <w:rFonts w:ascii="Times New Roman" w:eastAsia="Times New Roman" w:hAnsi="Times New Roman" w:cs="Times New Roman"/>
          <w:sz w:val="24"/>
          <w:szCs w:val="24"/>
        </w:rPr>
        <w:t xml:space="preserve">, believing in the development of abilities, will select and respond more strongly to self-improvement groups than those with a fixed mindset, who might favor self-enhancement groups. Decision-makers with a mastery goal orientation, emphasizing the value of learning </w:t>
      </w:r>
      <w:r>
        <w:rPr>
          <w:rFonts w:ascii="Times New Roman" w:eastAsia="Times New Roman" w:hAnsi="Times New Roman" w:cs="Times New Roman"/>
          <w:noProof/>
          <w:sz w:val="24"/>
          <w:szCs w:val="24"/>
        </w:rPr>
        <w:t>(Elliott and Dweck, 1988)</w:t>
      </w:r>
      <w:r>
        <w:rPr>
          <w:rFonts w:ascii="Times New Roman" w:eastAsia="Times New Roman" w:hAnsi="Times New Roman" w:cs="Times New Roman"/>
          <w:sz w:val="24"/>
          <w:szCs w:val="24"/>
        </w:rPr>
        <w:t xml:space="preserve">, will likely be influenced by self-improvement groups, while decision-makers with a performance orientation may rely more on the self-assessment group. In terms of extrinsic motivation, we hope that researchers will expand on the work on incentives by Lim and colleagues </w:t>
      </w:r>
      <w:r>
        <w:rPr>
          <w:rFonts w:ascii="Times New Roman" w:eastAsia="Times New Roman" w:hAnsi="Times New Roman" w:cs="Times New Roman"/>
          <w:noProof/>
          <w:sz w:val="24"/>
          <w:szCs w:val="24"/>
        </w:rPr>
        <w:t>(e.g., Lim, 2017, Lim and McCann, 2014)</w:t>
      </w:r>
      <w:r>
        <w:rPr>
          <w:rFonts w:ascii="Times New Roman" w:eastAsia="Times New Roman" w:hAnsi="Times New Roman" w:cs="Times New Roman"/>
          <w:sz w:val="24"/>
          <w:szCs w:val="24"/>
        </w:rPr>
        <w:t xml:space="preserve">. We believe that purposeful design of top executives’ remuneration packages will influence their reference group selection, learning from feedback, and their firms’ responses. It would be particularly interesting to recommend packages that incentivize executives - particularly those in underperforming firms - to learn from self-improvement groups. Decision-makers are also influenced by stakeholders’ expectations </w:t>
      </w:r>
      <w:r>
        <w:rPr>
          <w:rFonts w:ascii="Times New Roman" w:eastAsia="Times New Roman" w:hAnsi="Times New Roman" w:cs="Times New Roman"/>
          <w:noProof/>
          <w:sz w:val="24"/>
          <w:szCs w:val="24"/>
        </w:rPr>
        <w:t>(Jordan and Audia, 2012, Nason et al., 2018)</w:t>
      </w:r>
      <w:r>
        <w:rPr>
          <w:rFonts w:ascii="Times New Roman" w:eastAsia="Times New Roman" w:hAnsi="Times New Roman" w:cs="Times New Roman"/>
          <w:sz w:val="24"/>
          <w:szCs w:val="24"/>
        </w:rPr>
        <w:t xml:space="preserve"> who may emphasize either long-term learning from feedback (self-improvement) or immediate impression management (self-enhancement). The values in organizational culture may further promote motives (e.g., learning-oriented culture).</w:t>
      </w:r>
    </w:p>
    <w:p w14:paraId="53C052C0" w14:textId="77777777" w:rsidR="00750C42" w:rsidRDefault="00750C42">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Our non-findings for performance below the self-improvement group also demonstrate important future research areas. First, we suggest that researchers consider the performance distribution of their sample and partition out very low performers. In this context, we also see </w:t>
      </w:r>
      <w:r>
        <w:rPr>
          <w:rFonts w:ascii="Times New Roman" w:eastAsia="Times New Roman" w:hAnsi="Times New Roman" w:cs="Times New Roman"/>
          <w:sz w:val="24"/>
          <w:szCs w:val="24"/>
        </w:rPr>
        <w:lastRenderedPageBreak/>
        <w:t>promise for future studies to examine the influence of the size, dynamism, munificence, maturity, and transparency of the industry that likely affect responses to motive-based reference groups. Second, to better understand responses to performance below aspirations, it will also be important for researchers to explore other self-evaluation motives for reference group selection (especially self-verification)</w:t>
      </w:r>
      <w:r>
        <w:rPr>
          <w:rFonts w:ascii="Times New Roman" w:eastAsia="Times New Roman" w:hAnsi="Times New Roman" w:cs="Times New Roman"/>
        </w:rPr>
        <w:t xml:space="preserve">. </w:t>
      </w:r>
    </w:p>
    <w:p w14:paraId="3E1E8900" w14:textId="47D6E6BA" w:rsidR="00750C42" w:rsidRDefault="00750C42" w:rsidP="00AF334D">
      <w:pPr>
        <w:spacing w:line="480" w:lineRule="auto"/>
        <w:ind w:firstLine="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At the macro level, we hope that researchers will consider national culture that has also been associated with the prevalence of certain self-evaluation motives. Though the discussion of culture and motives is heated </w:t>
      </w:r>
      <w:r>
        <w:rPr>
          <w:rFonts w:ascii="Times New Roman" w:eastAsia="Times New Roman" w:hAnsi="Times New Roman" w:cs="Times New Roman"/>
          <w:noProof/>
          <w:sz w:val="24"/>
          <w:szCs w:val="24"/>
        </w:rPr>
        <w:t>(Sedikides et al., 2005)</w:t>
      </w:r>
      <w:r>
        <w:rPr>
          <w:rFonts w:ascii="Times New Roman" w:eastAsia="Times New Roman" w:hAnsi="Times New Roman" w:cs="Times New Roman"/>
          <w:sz w:val="24"/>
          <w:szCs w:val="24"/>
        </w:rPr>
        <w:t xml:space="preserve">, several studies </w:t>
      </w:r>
      <w:r>
        <w:rPr>
          <w:rFonts w:ascii="Times New Roman" w:eastAsia="Times New Roman" w:hAnsi="Times New Roman" w:cs="Times New Roman"/>
          <w:noProof/>
          <w:sz w:val="24"/>
          <w:szCs w:val="24"/>
        </w:rPr>
        <w:t>(Heine and Lehman, 1997, White and Lehman, 2005)</w:t>
      </w:r>
      <w:r>
        <w:rPr>
          <w:rFonts w:ascii="Times New Roman" w:eastAsia="Times New Roman" w:hAnsi="Times New Roman" w:cs="Times New Roman"/>
          <w:sz w:val="24"/>
          <w:szCs w:val="24"/>
        </w:rPr>
        <w:t xml:space="preserve"> found that self-enhancement is more pronounced in Western cultures while self-improvement is relatively more important in East Asian cultures. This is particularly important in the light of the fact that the percentage of non-US based samples has almost doubled in the last decade and almost half of newly published studies use non-US based samples</w:t>
      </w:r>
      <w:r>
        <w:rPr>
          <w:rStyle w:val="EndnoteReference"/>
          <w:rFonts w:ascii="Times New Roman" w:eastAsia="Times New Roman" w:hAnsi="Times New Roman" w:cs="Times New Roman"/>
          <w:sz w:val="24"/>
          <w:szCs w:val="24"/>
        </w:rPr>
        <w:endnoteReference w:id="11"/>
      </w:r>
      <w:r>
        <w:rPr>
          <w:rFonts w:ascii="Times New Roman" w:eastAsia="Times New Roman" w:hAnsi="Times New Roman" w:cs="Times New Roman"/>
          <w:sz w:val="24"/>
          <w:szCs w:val="24"/>
        </w:rPr>
        <w:t xml:space="preserve"> with East Asian being the fastest growing group. That means that more and more future studies will likely contradict the predictions of the PFT, especially for performance above aspirations</w:t>
      </w:r>
      <w:r w:rsidR="00AF334D">
        <w:rPr>
          <w:rFonts w:ascii="Times New Roman" w:eastAsia="Times New Roman" w:hAnsi="Times New Roman" w:cs="Times New Roman"/>
          <w:sz w:val="24"/>
          <w:szCs w:val="24"/>
        </w:rPr>
        <w:t>.</w:t>
      </w:r>
    </w:p>
    <w:p w14:paraId="5FA9FD89" w14:textId="3C6C060A" w:rsidR="00EC7E61" w:rsidRDefault="00EC7E61">
      <w:p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br w:type="page"/>
      </w:r>
    </w:p>
    <w:p w14:paraId="14DCF736" w14:textId="77777777" w:rsidR="00EC7E61" w:rsidRPr="00B51040" w:rsidRDefault="00EC7E61" w:rsidP="00EC7E61">
      <w:pPr>
        <w:pStyle w:val="EndNoteBibliographyTitle"/>
        <w:rPr>
          <w:b/>
          <w:noProof/>
        </w:rPr>
      </w:pPr>
      <w:r w:rsidRPr="00B51040">
        <w:rPr>
          <w:b/>
          <w:noProof/>
        </w:rPr>
        <w:lastRenderedPageBreak/>
        <w:t>REFERENCES</w:t>
      </w:r>
    </w:p>
    <w:p w14:paraId="7C0491EE" w14:textId="77777777" w:rsidR="00EC7E61" w:rsidRPr="00B51040" w:rsidRDefault="00EC7E61" w:rsidP="00EC7E61">
      <w:pPr>
        <w:pStyle w:val="EndNoteBibliographyTitle"/>
        <w:rPr>
          <w:b/>
          <w:noProof/>
        </w:rPr>
      </w:pPr>
    </w:p>
    <w:p w14:paraId="565F43F5" w14:textId="77777777" w:rsidR="00EC7E61" w:rsidRPr="00B51040" w:rsidRDefault="00EC7E61" w:rsidP="00EC7E61">
      <w:pPr>
        <w:pStyle w:val="EndNoteBibliography"/>
        <w:ind w:left="720" w:hanging="720"/>
        <w:jc w:val="left"/>
        <w:rPr>
          <w:noProof/>
        </w:rPr>
      </w:pPr>
      <w:r w:rsidRPr="00B51040">
        <w:rPr>
          <w:noProof/>
        </w:rPr>
        <w:t xml:space="preserve">Aguinis, H., D. R. Dalton, F. A. Bosco, C. A. Pierce and C. M. Dalton (2010a). 'Meta-analytic choices and judgment calls: Implications for theory building and testing, obtained effect sizes, and scholarly impact', </w:t>
      </w:r>
      <w:r w:rsidRPr="00B51040">
        <w:rPr>
          <w:i/>
          <w:noProof/>
        </w:rPr>
        <w:t>Journal of Management,</w:t>
      </w:r>
      <w:r w:rsidRPr="00B51040">
        <w:rPr>
          <w:noProof/>
        </w:rPr>
        <w:t xml:space="preserve"> </w:t>
      </w:r>
      <w:r w:rsidRPr="00B51040">
        <w:rPr>
          <w:b/>
          <w:noProof/>
        </w:rPr>
        <w:t xml:space="preserve">37, </w:t>
      </w:r>
      <w:r w:rsidRPr="00B51040">
        <w:rPr>
          <w:noProof/>
        </w:rPr>
        <w:t>pp. 5-38.</w:t>
      </w:r>
    </w:p>
    <w:p w14:paraId="1FBEE872" w14:textId="77777777" w:rsidR="00EC7E61" w:rsidRPr="00B51040" w:rsidRDefault="00EC7E61" w:rsidP="00EC7E61">
      <w:pPr>
        <w:pStyle w:val="EndNoteBibliography"/>
        <w:ind w:left="720" w:hanging="720"/>
        <w:jc w:val="left"/>
        <w:rPr>
          <w:noProof/>
        </w:rPr>
      </w:pPr>
      <w:r w:rsidRPr="00B51040">
        <w:rPr>
          <w:noProof/>
        </w:rPr>
        <w:t xml:space="preserve">Aguinis, H., R. K. Gottfredson and T. A. Wright (2011). 'Best-practice recommendations for estimating interaction effects using meta-analysis', </w:t>
      </w:r>
      <w:r w:rsidRPr="00B51040">
        <w:rPr>
          <w:i/>
          <w:noProof/>
        </w:rPr>
        <w:t>Journal of Organizational Behavior,</w:t>
      </w:r>
      <w:r w:rsidRPr="00B51040">
        <w:rPr>
          <w:noProof/>
        </w:rPr>
        <w:t xml:space="preserve"> </w:t>
      </w:r>
      <w:r w:rsidRPr="00B51040">
        <w:rPr>
          <w:b/>
          <w:noProof/>
        </w:rPr>
        <w:t xml:space="preserve">32, </w:t>
      </w:r>
      <w:r w:rsidRPr="00B51040">
        <w:rPr>
          <w:noProof/>
        </w:rPr>
        <w:t>pp. 1033-1043.</w:t>
      </w:r>
    </w:p>
    <w:p w14:paraId="79E81A1A" w14:textId="77777777" w:rsidR="00EC7E61" w:rsidRPr="00B51040" w:rsidRDefault="00EC7E61" w:rsidP="00EC7E61">
      <w:pPr>
        <w:pStyle w:val="EndNoteBibliography"/>
        <w:ind w:left="720" w:hanging="720"/>
        <w:jc w:val="left"/>
        <w:rPr>
          <w:noProof/>
        </w:rPr>
      </w:pPr>
      <w:r w:rsidRPr="00B51040">
        <w:rPr>
          <w:noProof/>
        </w:rPr>
        <w:t xml:space="preserve">Aguinis, H., C. A. Pierce, F. A. Bosco, D. R. Dalton and C. M. Dalton (2010b). 'Debunking myths and urban legends About meta-analysis', </w:t>
      </w:r>
      <w:r w:rsidRPr="00B51040">
        <w:rPr>
          <w:i/>
          <w:noProof/>
        </w:rPr>
        <w:t>Organizational Research Methods,</w:t>
      </w:r>
      <w:r w:rsidRPr="00B51040">
        <w:rPr>
          <w:noProof/>
        </w:rPr>
        <w:t xml:space="preserve"> </w:t>
      </w:r>
      <w:r w:rsidRPr="00B51040">
        <w:rPr>
          <w:b/>
          <w:noProof/>
        </w:rPr>
        <w:t xml:space="preserve">14, </w:t>
      </w:r>
      <w:r w:rsidRPr="00B51040">
        <w:rPr>
          <w:noProof/>
        </w:rPr>
        <w:t>pp. 306-331.</w:t>
      </w:r>
    </w:p>
    <w:p w14:paraId="583E5C97" w14:textId="77777777" w:rsidR="00EC7E61" w:rsidRPr="00B51040" w:rsidRDefault="00EC7E61" w:rsidP="00EC7E61">
      <w:pPr>
        <w:pStyle w:val="EndNoteBibliography"/>
        <w:ind w:left="720" w:hanging="720"/>
        <w:jc w:val="left"/>
        <w:rPr>
          <w:noProof/>
        </w:rPr>
      </w:pPr>
      <w:r w:rsidRPr="00B51040">
        <w:rPr>
          <w:noProof/>
        </w:rPr>
        <w:t xml:space="preserve">Aguinis, H., R. S. Ramani and N. Alabduljader (2018). 'What you see is what you get? Enhancing methodological transparency in management research', </w:t>
      </w:r>
      <w:r w:rsidRPr="00B51040">
        <w:rPr>
          <w:i/>
          <w:noProof/>
        </w:rPr>
        <w:t>Academy of Management Annals,</w:t>
      </w:r>
      <w:r w:rsidRPr="00B51040">
        <w:rPr>
          <w:noProof/>
        </w:rPr>
        <w:t xml:space="preserve"> </w:t>
      </w:r>
      <w:r w:rsidRPr="00B51040">
        <w:rPr>
          <w:b/>
          <w:noProof/>
        </w:rPr>
        <w:t xml:space="preserve">12, </w:t>
      </w:r>
      <w:r w:rsidRPr="00B51040">
        <w:rPr>
          <w:noProof/>
        </w:rPr>
        <w:t>pp. 83-110.</w:t>
      </w:r>
    </w:p>
    <w:p w14:paraId="6B730483" w14:textId="77777777" w:rsidR="00EC7E61" w:rsidRPr="00B51040" w:rsidRDefault="00EC7E61" w:rsidP="00EC7E61">
      <w:pPr>
        <w:pStyle w:val="EndNoteBibliography"/>
        <w:ind w:left="720" w:hanging="720"/>
        <w:jc w:val="left"/>
        <w:rPr>
          <w:noProof/>
        </w:rPr>
      </w:pPr>
      <w:r w:rsidRPr="00B51040">
        <w:rPr>
          <w:noProof/>
        </w:rPr>
        <w:t xml:space="preserve">Ahn, S., C. K. Cho and T. S. Cho (2020). 'Performance feedback and organizational learning: the role of regulatory focus', </w:t>
      </w:r>
      <w:r w:rsidRPr="00B51040">
        <w:rPr>
          <w:i/>
          <w:noProof/>
        </w:rPr>
        <w:t>Management Decision,</w:t>
      </w:r>
      <w:r w:rsidRPr="00B51040">
        <w:rPr>
          <w:noProof/>
        </w:rPr>
        <w:t xml:space="preserve"> </w:t>
      </w:r>
      <w:r w:rsidRPr="00B51040">
        <w:rPr>
          <w:b/>
          <w:noProof/>
        </w:rPr>
        <w:t xml:space="preserve">59, </w:t>
      </w:r>
      <w:r w:rsidRPr="00B51040">
        <w:rPr>
          <w:noProof/>
        </w:rPr>
        <w:t>pp. 616-637.</w:t>
      </w:r>
    </w:p>
    <w:p w14:paraId="368118DD" w14:textId="77777777" w:rsidR="00EC7E61" w:rsidRPr="00B51040" w:rsidRDefault="00EC7E61" w:rsidP="00EC7E61">
      <w:pPr>
        <w:pStyle w:val="EndNoteBibliography"/>
        <w:ind w:left="720" w:hanging="720"/>
        <w:jc w:val="left"/>
        <w:rPr>
          <w:noProof/>
        </w:rPr>
      </w:pPr>
      <w:r w:rsidRPr="00B51040">
        <w:rPr>
          <w:noProof/>
        </w:rPr>
        <w:t xml:space="preserve">Alexy, O., E. Bascavusoglu-Moreau and A. Salter (2016). 'Toward an aspiration-level theory of open innovation', </w:t>
      </w:r>
      <w:r w:rsidRPr="00B51040">
        <w:rPr>
          <w:i/>
          <w:noProof/>
        </w:rPr>
        <w:t>Industrial and Corporate Change,</w:t>
      </w:r>
      <w:r w:rsidRPr="00B51040">
        <w:rPr>
          <w:noProof/>
        </w:rPr>
        <w:t xml:space="preserve"> </w:t>
      </w:r>
      <w:r w:rsidRPr="00B51040">
        <w:rPr>
          <w:b/>
          <w:noProof/>
        </w:rPr>
        <w:t xml:space="preserve">25, </w:t>
      </w:r>
      <w:r w:rsidRPr="00B51040">
        <w:rPr>
          <w:noProof/>
        </w:rPr>
        <w:t>pp. 289-306.</w:t>
      </w:r>
    </w:p>
    <w:p w14:paraId="11A3B91E" w14:textId="77777777" w:rsidR="00EC7E61" w:rsidRPr="00B51040" w:rsidRDefault="00EC7E61" w:rsidP="00EC7E61">
      <w:pPr>
        <w:pStyle w:val="EndNoteBibliography"/>
        <w:ind w:left="720" w:hanging="720"/>
        <w:jc w:val="left"/>
        <w:rPr>
          <w:noProof/>
        </w:rPr>
      </w:pPr>
      <w:r w:rsidRPr="00B51040">
        <w:rPr>
          <w:noProof/>
        </w:rPr>
        <w:t xml:space="preserve">Argote, L. and H. R. Greve (2007). 'A Behavioral Theory of the Firm—40 years and counting: Introduction and impact', </w:t>
      </w:r>
      <w:r w:rsidRPr="00B51040">
        <w:rPr>
          <w:i/>
          <w:noProof/>
        </w:rPr>
        <w:t>Organization Science,</w:t>
      </w:r>
      <w:r w:rsidRPr="00B51040">
        <w:rPr>
          <w:noProof/>
        </w:rPr>
        <w:t xml:space="preserve"> </w:t>
      </w:r>
      <w:r w:rsidRPr="00B51040">
        <w:rPr>
          <w:b/>
          <w:noProof/>
        </w:rPr>
        <w:t xml:space="preserve">18, </w:t>
      </w:r>
      <w:r w:rsidRPr="00B51040">
        <w:rPr>
          <w:noProof/>
        </w:rPr>
        <w:t>pp. 337-349.</w:t>
      </w:r>
    </w:p>
    <w:p w14:paraId="51017DC7" w14:textId="77777777" w:rsidR="00EC7E61" w:rsidRPr="00B51040" w:rsidRDefault="00EC7E61" w:rsidP="00EC7E61">
      <w:pPr>
        <w:pStyle w:val="EndNoteBibliography"/>
        <w:ind w:left="720" w:hanging="720"/>
        <w:jc w:val="left"/>
        <w:rPr>
          <w:noProof/>
        </w:rPr>
      </w:pPr>
      <w:r w:rsidRPr="00B51040">
        <w:rPr>
          <w:noProof/>
        </w:rPr>
        <w:t xml:space="preserve">Arrfelt, M., R. M. Wiseman and G. T. M. Hult (2012). 'Looking backward instead of forward: Aspiration-driven influences on the efficiency of the capital allocation process', </w:t>
      </w:r>
      <w:r w:rsidRPr="00B51040">
        <w:rPr>
          <w:i/>
          <w:noProof/>
        </w:rPr>
        <w:t>Academy of Management Journal,</w:t>
      </w:r>
      <w:r w:rsidRPr="00B51040">
        <w:rPr>
          <w:noProof/>
        </w:rPr>
        <w:t xml:space="preserve"> </w:t>
      </w:r>
      <w:r w:rsidRPr="00B51040">
        <w:rPr>
          <w:b/>
          <w:noProof/>
        </w:rPr>
        <w:t xml:space="preserve">56, </w:t>
      </w:r>
      <w:r w:rsidRPr="00B51040">
        <w:rPr>
          <w:noProof/>
        </w:rPr>
        <w:t>pp. 1081-1103.</w:t>
      </w:r>
    </w:p>
    <w:p w14:paraId="414318E1" w14:textId="77777777" w:rsidR="00EC7E61" w:rsidRPr="00B51040" w:rsidRDefault="00EC7E61" w:rsidP="00EC7E61">
      <w:pPr>
        <w:pStyle w:val="EndNoteBibliography"/>
        <w:ind w:left="720" w:hanging="720"/>
        <w:jc w:val="left"/>
        <w:rPr>
          <w:noProof/>
        </w:rPr>
      </w:pPr>
      <w:r w:rsidRPr="00B51040">
        <w:rPr>
          <w:noProof/>
        </w:rPr>
        <w:t xml:space="preserve">Askin, N. and M. S. Bothner (2016). 'Status-Aspirational pricing: The "Chivas Regal" strategy in U.S. higher education, 2006-2012', </w:t>
      </w:r>
      <w:r w:rsidRPr="00B51040">
        <w:rPr>
          <w:i/>
          <w:noProof/>
        </w:rPr>
        <w:t>Administrative Science Quarterly,</w:t>
      </w:r>
      <w:r w:rsidRPr="00B51040">
        <w:rPr>
          <w:noProof/>
        </w:rPr>
        <w:t xml:space="preserve"> </w:t>
      </w:r>
      <w:r w:rsidRPr="00B51040">
        <w:rPr>
          <w:b/>
          <w:noProof/>
        </w:rPr>
        <w:t xml:space="preserve">61, </w:t>
      </w:r>
      <w:r w:rsidRPr="00B51040">
        <w:rPr>
          <w:noProof/>
        </w:rPr>
        <w:t>pp. 217-253.</w:t>
      </w:r>
    </w:p>
    <w:p w14:paraId="461E448F" w14:textId="77777777" w:rsidR="00EC7E61" w:rsidRPr="00B51040" w:rsidRDefault="00EC7E61" w:rsidP="00EC7E61">
      <w:pPr>
        <w:pStyle w:val="EndNoteBibliography"/>
        <w:ind w:left="720" w:hanging="720"/>
        <w:jc w:val="left"/>
        <w:rPr>
          <w:noProof/>
        </w:rPr>
      </w:pPr>
      <w:r w:rsidRPr="00B51040">
        <w:rPr>
          <w:noProof/>
        </w:rPr>
        <w:t xml:space="preserve">Aspinwall, L. G. and S. E. Taylor (1993). 'Effects of social comparison direction, threat, and self-esteem on affect, self-evaluation, and expected success', </w:t>
      </w:r>
      <w:r w:rsidRPr="00B51040">
        <w:rPr>
          <w:i/>
          <w:noProof/>
        </w:rPr>
        <w:t>Journal of Personality and Social Psychology,</w:t>
      </w:r>
      <w:r w:rsidRPr="00B51040">
        <w:rPr>
          <w:noProof/>
        </w:rPr>
        <w:t xml:space="preserve"> </w:t>
      </w:r>
      <w:r w:rsidRPr="00B51040">
        <w:rPr>
          <w:b/>
          <w:noProof/>
        </w:rPr>
        <w:t xml:space="preserve">64, </w:t>
      </w:r>
      <w:r w:rsidRPr="00B51040">
        <w:rPr>
          <w:noProof/>
        </w:rPr>
        <w:t>pp. 708-722.</w:t>
      </w:r>
    </w:p>
    <w:p w14:paraId="1238ED1B" w14:textId="77777777" w:rsidR="00EC7E61" w:rsidRPr="00B51040" w:rsidRDefault="00EC7E61" w:rsidP="00EC7E61">
      <w:pPr>
        <w:pStyle w:val="EndNoteBibliography"/>
        <w:ind w:left="720" w:hanging="720"/>
        <w:jc w:val="left"/>
        <w:rPr>
          <w:noProof/>
        </w:rPr>
      </w:pPr>
      <w:r w:rsidRPr="00B51040">
        <w:rPr>
          <w:noProof/>
        </w:rPr>
        <w:t xml:space="preserve">Audia, P. G. and S. Brion (2007). 'Reluctant to change: Self-enhancing responses to diverging performance measures', </w:t>
      </w:r>
      <w:r w:rsidRPr="00B51040">
        <w:rPr>
          <w:i/>
          <w:noProof/>
        </w:rPr>
        <w:t>Organizational Behavior and Human Decision Processes,</w:t>
      </w:r>
      <w:r w:rsidRPr="00B51040">
        <w:rPr>
          <w:noProof/>
        </w:rPr>
        <w:t xml:space="preserve"> </w:t>
      </w:r>
      <w:r w:rsidRPr="00B51040">
        <w:rPr>
          <w:b/>
          <w:noProof/>
        </w:rPr>
        <w:t xml:space="preserve">102, </w:t>
      </w:r>
      <w:r w:rsidRPr="00B51040">
        <w:rPr>
          <w:noProof/>
        </w:rPr>
        <w:t>pp. 255-269.</w:t>
      </w:r>
    </w:p>
    <w:p w14:paraId="2CECDF67" w14:textId="77777777" w:rsidR="00EC7E61" w:rsidRPr="00B51040" w:rsidRDefault="00EC7E61" w:rsidP="00EC7E61">
      <w:pPr>
        <w:pStyle w:val="EndNoteBibliography"/>
        <w:ind w:left="720" w:hanging="720"/>
        <w:jc w:val="left"/>
        <w:rPr>
          <w:noProof/>
        </w:rPr>
      </w:pPr>
      <w:r w:rsidRPr="00B51040">
        <w:rPr>
          <w:noProof/>
        </w:rPr>
        <w:t xml:space="preserve">Audia, P. G., S. Brion and H. R. Greve (2015). 'Self-assessment, self-enhancement, and the choice of comparison organizations for evaluating organizational performance', </w:t>
      </w:r>
      <w:r w:rsidRPr="00B51040">
        <w:rPr>
          <w:i/>
          <w:noProof/>
        </w:rPr>
        <w:t>Cognition and Strategy,</w:t>
      </w:r>
      <w:r w:rsidRPr="00B51040">
        <w:rPr>
          <w:noProof/>
        </w:rPr>
        <w:t xml:space="preserve"> </w:t>
      </w:r>
      <w:r w:rsidRPr="00B51040">
        <w:rPr>
          <w:b/>
          <w:noProof/>
        </w:rPr>
        <w:t xml:space="preserve">32, </w:t>
      </w:r>
      <w:r w:rsidRPr="00B51040">
        <w:rPr>
          <w:noProof/>
        </w:rPr>
        <w:t>pp. 89-118.</w:t>
      </w:r>
    </w:p>
    <w:p w14:paraId="16434DE9" w14:textId="77777777" w:rsidR="00EC7E61" w:rsidRPr="00B51040" w:rsidRDefault="00EC7E61" w:rsidP="00EC7E61">
      <w:pPr>
        <w:pStyle w:val="EndNoteBibliography"/>
        <w:ind w:left="720" w:hanging="720"/>
        <w:jc w:val="left"/>
        <w:rPr>
          <w:noProof/>
        </w:rPr>
      </w:pPr>
      <w:r w:rsidRPr="00B51040">
        <w:rPr>
          <w:noProof/>
        </w:rPr>
        <w:t xml:space="preserve">Audia, P. G. and H. R. Greve (2006). 'Less likely to fail: Low performance, firm size, and factory expansion in the shipbuilding industry', </w:t>
      </w:r>
      <w:r w:rsidRPr="00B51040">
        <w:rPr>
          <w:i/>
          <w:noProof/>
        </w:rPr>
        <w:t>Management Science,</w:t>
      </w:r>
      <w:r w:rsidRPr="00B51040">
        <w:rPr>
          <w:noProof/>
        </w:rPr>
        <w:t xml:space="preserve"> </w:t>
      </w:r>
      <w:r w:rsidRPr="00B51040">
        <w:rPr>
          <w:b/>
          <w:noProof/>
        </w:rPr>
        <w:t xml:space="preserve">52, </w:t>
      </w:r>
      <w:r w:rsidRPr="00B51040">
        <w:rPr>
          <w:noProof/>
        </w:rPr>
        <w:t>pp. 83-94.</w:t>
      </w:r>
    </w:p>
    <w:p w14:paraId="2F108ECE" w14:textId="77777777" w:rsidR="00EC7E61" w:rsidRPr="00B51040" w:rsidRDefault="00EC7E61" w:rsidP="00EC7E61">
      <w:pPr>
        <w:pStyle w:val="EndNoteBibliography"/>
        <w:ind w:left="720" w:hanging="720"/>
        <w:jc w:val="left"/>
        <w:rPr>
          <w:noProof/>
        </w:rPr>
      </w:pPr>
      <w:r w:rsidRPr="00B51040">
        <w:rPr>
          <w:noProof/>
        </w:rPr>
        <w:t xml:space="preserve">Audia, P. G. and H. R. Greve (2020). Organizational Learning from Performance Feedback: A Behavioral Perspective on Multiple Goals. </w:t>
      </w:r>
      <w:r w:rsidRPr="00B51040">
        <w:rPr>
          <w:i/>
          <w:noProof/>
        </w:rPr>
        <w:t>Elements in Organization Theory Series.</w:t>
      </w:r>
      <w:r w:rsidRPr="00B51040">
        <w:rPr>
          <w:noProof/>
        </w:rPr>
        <w:t xml:space="preserve"> Cambridge, UK: Cambridge University Press.</w:t>
      </w:r>
    </w:p>
    <w:p w14:paraId="2943404A" w14:textId="77777777" w:rsidR="00EC7E61" w:rsidRPr="00B51040" w:rsidRDefault="00EC7E61" w:rsidP="00EC7E61">
      <w:pPr>
        <w:pStyle w:val="EndNoteBibliography"/>
        <w:ind w:left="720" w:hanging="720"/>
        <w:jc w:val="left"/>
        <w:rPr>
          <w:noProof/>
        </w:rPr>
      </w:pPr>
      <w:r w:rsidRPr="00B51040">
        <w:rPr>
          <w:noProof/>
        </w:rPr>
        <w:t xml:space="preserve">Audia, P. G., E. A. Locke and K. G. Smith (2000). 'The paradox of success: An archival and a laboratory study of strategic persistence following radical environmental change', </w:t>
      </w:r>
      <w:r w:rsidRPr="00B51040">
        <w:rPr>
          <w:i/>
          <w:noProof/>
        </w:rPr>
        <w:t>Academy of Management Journal,</w:t>
      </w:r>
      <w:r w:rsidRPr="00B51040">
        <w:rPr>
          <w:noProof/>
        </w:rPr>
        <w:t xml:space="preserve"> </w:t>
      </w:r>
      <w:r w:rsidRPr="00B51040">
        <w:rPr>
          <w:b/>
          <w:noProof/>
        </w:rPr>
        <w:t xml:space="preserve">43, </w:t>
      </w:r>
      <w:r w:rsidRPr="00B51040">
        <w:rPr>
          <w:noProof/>
        </w:rPr>
        <w:t>pp. 837-853.</w:t>
      </w:r>
    </w:p>
    <w:p w14:paraId="14062D5A" w14:textId="77777777" w:rsidR="00EC7E61" w:rsidRPr="00B51040" w:rsidRDefault="00EC7E61" w:rsidP="00EC7E61">
      <w:pPr>
        <w:pStyle w:val="EndNoteBibliography"/>
        <w:ind w:left="720" w:hanging="720"/>
        <w:jc w:val="left"/>
        <w:rPr>
          <w:noProof/>
        </w:rPr>
      </w:pPr>
      <w:r w:rsidRPr="00B51040">
        <w:rPr>
          <w:noProof/>
        </w:rPr>
        <w:t xml:space="preserve">Audia, P. G., H. E. Rousseau and S. Brion (2021). 'CEO power and nonconforming reference group selection', </w:t>
      </w:r>
      <w:r w:rsidRPr="00B51040">
        <w:rPr>
          <w:i/>
          <w:noProof/>
        </w:rPr>
        <w:t>Organization Science</w:t>
      </w:r>
      <w:r w:rsidRPr="00B51040">
        <w:rPr>
          <w:noProof/>
        </w:rPr>
        <w:t>.</w:t>
      </w:r>
    </w:p>
    <w:p w14:paraId="4C06A0B3" w14:textId="77777777" w:rsidR="00EC7E61" w:rsidRPr="00B51040" w:rsidRDefault="00EC7E61" w:rsidP="00EC7E61">
      <w:pPr>
        <w:pStyle w:val="EndNoteBibliography"/>
        <w:ind w:left="720" w:hanging="720"/>
        <w:jc w:val="left"/>
        <w:rPr>
          <w:noProof/>
        </w:rPr>
      </w:pPr>
      <w:r w:rsidRPr="00B51040">
        <w:rPr>
          <w:noProof/>
        </w:rPr>
        <w:t xml:space="preserve">Barreto, I. (2012). 'A behavioral theory of market expansion based on the opportunity prospects rule', </w:t>
      </w:r>
      <w:r w:rsidRPr="00B51040">
        <w:rPr>
          <w:i/>
          <w:noProof/>
        </w:rPr>
        <w:t>Organization Science,</w:t>
      </w:r>
      <w:r w:rsidRPr="00B51040">
        <w:rPr>
          <w:noProof/>
        </w:rPr>
        <w:t xml:space="preserve"> </w:t>
      </w:r>
      <w:r w:rsidRPr="00B51040">
        <w:rPr>
          <w:b/>
          <w:noProof/>
        </w:rPr>
        <w:t xml:space="preserve">23, </w:t>
      </w:r>
      <w:r w:rsidRPr="00B51040">
        <w:rPr>
          <w:noProof/>
        </w:rPr>
        <w:t>pp. 1008-1023.</w:t>
      </w:r>
    </w:p>
    <w:p w14:paraId="354FC60D" w14:textId="77777777" w:rsidR="00EC7E61" w:rsidRPr="00B51040" w:rsidRDefault="00EC7E61" w:rsidP="00EC7E61">
      <w:pPr>
        <w:pStyle w:val="EndNoteBibliography"/>
        <w:ind w:left="720" w:hanging="720"/>
        <w:jc w:val="left"/>
        <w:rPr>
          <w:noProof/>
        </w:rPr>
      </w:pPr>
      <w:r w:rsidRPr="00612C49">
        <w:rPr>
          <w:noProof/>
          <w:lang w:val="de-DE"/>
        </w:rPr>
        <w:t xml:space="preserve">Baum, J. A. and K. B. Dahlin (2007). </w:t>
      </w:r>
      <w:r w:rsidRPr="00B51040">
        <w:rPr>
          <w:noProof/>
        </w:rPr>
        <w:t xml:space="preserve">'Aspiration performance and railroads’ patterns of learning from train wrecks and crashes', </w:t>
      </w:r>
      <w:r w:rsidRPr="00B51040">
        <w:rPr>
          <w:i/>
          <w:noProof/>
        </w:rPr>
        <w:t>Organization Science,</w:t>
      </w:r>
      <w:r w:rsidRPr="00B51040">
        <w:rPr>
          <w:noProof/>
        </w:rPr>
        <w:t xml:space="preserve"> </w:t>
      </w:r>
      <w:r w:rsidRPr="00B51040">
        <w:rPr>
          <w:b/>
          <w:noProof/>
        </w:rPr>
        <w:t xml:space="preserve">18, </w:t>
      </w:r>
      <w:r w:rsidRPr="00B51040">
        <w:rPr>
          <w:noProof/>
        </w:rPr>
        <w:t>pp. 368-385.</w:t>
      </w:r>
    </w:p>
    <w:p w14:paraId="506D9E17" w14:textId="77777777" w:rsidR="00EC7E61" w:rsidRPr="00B51040" w:rsidRDefault="00EC7E61" w:rsidP="00EC7E61">
      <w:pPr>
        <w:pStyle w:val="EndNoteBibliography"/>
        <w:ind w:left="720" w:hanging="720"/>
        <w:jc w:val="left"/>
        <w:rPr>
          <w:noProof/>
        </w:rPr>
      </w:pPr>
      <w:r w:rsidRPr="00B51040">
        <w:rPr>
          <w:noProof/>
        </w:rPr>
        <w:t xml:space="preserve">Baum, J. A., T. J. Rowley, A. V. Shipilov and Y.-T. Chuang (2005). 'Dancing with strangers: Aspiration performance and the search for underwriting syndicate partners', </w:t>
      </w:r>
      <w:r w:rsidRPr="00B51040">
        <w:rPr>
          <w:i/>
          <w:noProof/>
        </w:rPr>
        <w:t>Administrative Science Quarterly,</w:t>
      </w:r>
      <w:r w:rsidRPr="00B51040">
        <w:rPr>
          <w:noProof/>
        </w:rPr>
        <w:t xml:space="preserve"> </w:t>
      </w:r>
      <w:r w:rsidRPr="00B51040">
        <w:rPr>
          <w:b/>
          <w:noProof/>
        </w:rPr>
        <w:t xml:space="preserve">50, </w:t>
      </w:r>
      <w:r w:rsidRPr="00B51040">
        <w:rPr>
          <w:noProof/>
        </w:rPr>
        <w:t>pp. 536-575.</w:t>
      </w:r>
    </w:p>
    <w:p w14:paraId="1856A922" w14:textId="77777777" w:rsidR="00EC7E61" w:rsidRPr="00B51040" w:rsidRDefault="00EC7E61" w:rsidP="00EC7E61">
      <w:pPr>
        <w:pStyle w:val="EndNoteBibliography"/>
        <w:ind w:left="720" w:hanging="720"/>
        <w:jc w:val="left"/>
        <w:rPr>
          <w:noProof/>
        </w:rPr>
      </w:pPr>
      <w:r w:rsidRPr="00B51040">
        <w:rPr>
          <w:noProof/>
        </w:rPr>
        <w:lastRenderedPageBreak/>
        <w:t xml:space="preserve">Beckman, C. M. and H. J. Lee (2017). Social comparison and learning from others. In: L. Argote and J. Levine (eds.), </w:t>
      </w:r>
      <w:r w:rsidRPr="00B51040">
        <w:rPr>
          <w:i/>
          <w:noProof/>
        </w:rPr>
        <w:t>Oxford handbook of group and organizational learning.</w:t>
      </w:r>
      <w:r w:rsidRPr="00B51040">
        <w:rPr>
          <w:noProof/>
        </w:rPr>
        <w:t xml:space="preserve"> Oxford, UK: Oxford University Press.</w:t>
      </w:r>
    </w:p>
    <w:p w14:paraId="4FA3297C" w14:textId="77777777" w:rsidR="00EC7E61" w:rsidRPr="00B51040" w:rsidRDefault="00EC7E61" w:rsidP="00EC7E61">
      <w:pPr>
        <w:pStyle w:val="EndNoteBibliography"/>
        <w:ind w:left="720" w:hanging="720"/>
        <w:jc w:val="left"/>
        <w:rPr>
          <w:noProof/>
        </w:rPr>
      </w:pPr>
      <w:r w:rsidRPr="00B51040">
        <w:rPr>
          <w:noProof/>
        </w:rPr>
        <w:t xml:space="preserve">Ben-Oz, C. and H. R. Greve (2015). 'Short- and long-term performance feedback and absorptive capacity', </w:t>
      </w:r>
      <w:r w:rsidRPr="00B51040">
        <w:rPr>
          <w:i/>
          <w:noProof/>
        </w:rPr>
        <w:t>Journal of Management,</w:t>
      </w:r>
      <w:r w:rsidRPr="00B51040">
        <w:rPr>
          <w:noProof/>
        </w:rPr>
        <w:t xml:space="preserve"> </w:t>
      </w:r>
      <w:r w:rsidRPr="00B51040">
        <w:rPr>
          <w:b/>
          <w:noProof/>
        </w:rPr>
        <w:t xml:space="preserve">41, </w:t>
      </w:r>
      <w:r w:rsidRPr="00B51040">
        <w:rPr>
          <w:noProof/>
        </w:rPr>
        <w:t>pp. 1827-1853.</w:t>
      </w:r>
    </w:p>
    <w:p w14:paraId="417B535D" w14:textId="77777777" w:rsidR="00EC7E61" w:rsidRPr="00B51040" w:rsidRDefault="00EC7E61" w:rsidP="00EC7E61">
      <w:pPr>
        <w:pStyle w:val="EndNoteBibliography"/>
        <w:ind w:left="720" w:hanging="720"/>
        <w:jc w:val="left"/>
        <w:rPr>
          <w:noProof/>
        </w:rPr>
      </w:pPr>
      <w:r w:rsidRPr="00B51040">
        <w:rPr>
          <w:noProof/>
        </w:rPr>
        <w:t xml:space="preserve">Bergh, D. D., H. Aguinis, C. Heavey, D. J. Ketchen, B. K. Boyd, P. Su, C. L. L. Lau and H. Joo (2016). 'Using meta-analytic structural equation modeling to advance strategic management research: Guidelines and an empirical illustration via the strategic leadership-performance relationship', </w:t>
      </w:r>
      <w:r w:rsidRPr="00B51040">
        <w:rPr>
          <w:i/>
          <w:noProof/>
        </w:rPr>
        <w:t>Strategic Management Journal,</w:t>
      </w:r>
      <w:r w:rsidRPr="00B51040">
        <w:rPr>
          <w:noProof/>
        </w:rPr>
        <w:t xml:space="preserve"> </w:t>
      </w:r>
      <w:r w:rsidRPr="00B51040">
        <w:rPr>
          <w:b/>
          <w:noProof/>
        </w:rPr>
        <w:t xml:space="preserve">37, </w:t>
      </w:r>
      <w:r w:rsidRPr="00B51040">
        <w:rPr>
          <w:noProof/>
        </w:rPr>
        <w:t>pp. 477-497.</w:t>
      </w:r>
    </w:p>
    <w:p w14:paraId="3339DE0B" w14:textId="77777777" w:rsidR="00EC7E61" w:rsidRPr="00B51040" w:rsidRDefault="00EC7E61" w:rsidP="00EC7E61">
      <w:pPr>
        <w:pStyle w:val="EndNoteBibliography"/>
        <w:ind w:left="720" w:hanging="720"/>
        <w:jc w:val="left"/>
        <w:rPr>
          <w:noProof/>
        </w:rPr>
      </w:pPr>
      <w:r w:rsidRPr="00B51040">
        <w:rPr>
          <w:noProof/>
        </w:rPr>
        <w:t xml:space="preserve">Bettis, R. A. and D. Blettner (2020). 'Strategic reality today: Extraordinary past success, but difficult challenges loom', </w:t>
      </w:r>
      <w:r w:rsidRPr="00B51040">
        <w:rPr>
          <w:i/>
          <w:noProof/>
        </w:rPr>
        <w:t>Strategic Management Review,</w:t>
      </w:r>
      <w:r w:rsidRPr="00B51040">
        <w:rPr>
          <w:noProof/>
        </w:rPr>
        <w:t xml:space="preserve"> </w:t>
      </w:r>
      <w:r w:rsidRPr="00B51040">
        <w:rPr>
          <w:b/>
          <w:noProof/>
        </w:rPr>
        <w:t xml:space="preserve">1, </w:t>
      </w:r>
      <w:r w:rsidRPr="00B51040">
        <w:rPr>
          <w:noProof/>
        </w:rPr>
        <w:t>pp. 75-101.</w:t>
      </w:r>
    </w:p>
    <w:p w14:paraId="4E081BDE" w14:textId="77777777" w:rsidR="00EC7E61" w:rsidRPr="00B51040" w:rsidRDefault="00EC7E61" w:rsidP="00EC7E61">
      <w:pPr>
        <w:pStyle w:val="EndNoteBibliography"/>
        <w:ind w:left="720" w:hanging="720"/>
        <w:jc w:val="left"/>
        <w:rPr>
          <w:noProof/>
        </w:rPr>
      </w:pPr>
      <w:r w:rsidRPr="00B51040">
        <w:rPr>
          <w:noProof/>
        </w:rPr>
        <w:t xml:space="preserve">Blettner, D., C. Atanasova, G. J. M. Lucas and E. R. Gedajlovic (2019). 'How does financial performance feedback and personal reputation affect timing of future projects?', </w:t>
      </w:r>
      <w:r w:rsidRPr="00B51040">
        <w:rPr>
          <w:i/>
          <w:noProof/>
        </w:rPr>
        <w:t>Academy of Management Proceedings,</w:t>
      </w:r>
      <w:r w:rsidRPr="00B51040">
        <w:rPr>
          <w:noProof/>
        </w:rPr>
        <w:t xml:space="preserve"> </w:t>
      </w:r>
      <w:r w:rsidRPr="00B51040">
        <w:rPr>
          <w:b/>
          <w:noProof/>
        </w:rPr>
        <w:t xml:space="preserve">2019, </w:t>
      </w:r>
      <w:r w:rsidRPr="00B51040">
        <w:rPr>
          <w:noProof/>
        </w:rPr>
        <w:t>p. 12249.</w:t>
      </w:r>
    </w:p>
    <w:p w14:paraId="2822059E" w14:textId="77777777" w:rsidR="00EC7E61" w:rsidRPr="00B51040" w:rsidRDefault="00EC7E61" w:rsidP="00EC7E61">
      <w:pPr>
        <w:pStyle w:val="EndNoteBibliography"/>
        <w:ind w:left="720" w:hanging="720"/>
        <w:jc w:val="left"/>
        <w:rPr>
          <w:noProof/>
        </w:rPr>
      </w:pPr>
      <w:r w:rsidRPr="00B51040">
        <w:rPr>
          <w:noProof/>
        </w:rPr>
        <w:t xml:space="preserve">Borgholthaus, C. J., D. N. Iyer and J. P. O'Brien (2021). 'The effects of firm aspirational performance on changes in leadership structure', </w:t>
      </w:r>
      <w:r w:rsidRPr="00B51040">
        <w:rPr>
          <w:i/>
          <w:noProof/>
        </w:rPr>
        <w:t>Journal of Business Research,</w:t>
      </w:r>
      <w:r w:rsidRPr="00B51040">
        <w:rPr>
          <w:noProof/>
        </w:rPr>
        <w:t xml:space="preserve"> </w:t>
      </w:r>
      <w:r w:rsidRPr="00B51040">
        <w:rPr>
          <w:b/>
          <w:noProof/>
        </w:rPr>
        <w:t xml:space="preserve">129, </w:t>
      </w:r>
      <w:r w:rsidRPr="00B51040">
        <w:rPr>
          <w:noProof/>
        </w:rPr>
        <w:t>pp. 319-327.</w:t>
      </w:r>
    </w:p>
    <w:p w14:paraId="3C3E3C71" w14:textId="77777777" w:rsidR="00EC7E61" w:rsidRPr="00B51040" w:rsidRDefault="00EC7E61" w:rsidP="00EC7E61">
      <w:pPr>
        <w:pStyle w:val="EndNoteBibliography"/>
        <w:ind w:left="720" w:hanging="720"/>
        <w:jc w:val="left"/>
        <w:rPr>
          <w:noProof/>
        </w:rPr>
      </w:pPr>
      <w:r w:rsidRPr="00B51040">
        <w:rPr>
          <w:noProof/>
        </w:rPr>
        <w:t xml:space="preserve">Boyle, E. and Z. Shapira (2012). 'The liability of leading: Battling aspiration and survival goals in the Jeopardy! Tournament of Champions', </w:t>
      </w:r>
      <w:r w:rsidRPr="00B51040">
        <w:rPr>
          <w:i/>
          <w:noProof/>
        </w:rPr>
        <w:t>Organization Science,</w:t>
      </w:r>
      <w:r w:rsidRPr="00B51040">
        <w:rPr>
          <w:noProof/>
        </w:rPr>
        <w:t xml:space="preserve"> </w:t>
      </w:r>
      <w:r w:rsidRPr="00B51040">
        <w:rPr>
          <w:b/>
          <w:noProof/>
        </w:rPr>
        <w:t xml:space="preserve">23, </w:t>
      </w:r>
      <w:r w:rsidRPr="00B51040">
        <w:rPr>
          <w:noProof/>
        </w:rPr>
        <w:t>pp. 1100-1113.</w:t>
      </w:r>
    </w:p>
    <w:p w14:paraId="3AA17DD0" w14:textId="77777777" w:rsidR="00EC7E61" w:rsidRPr="00B51040" w:rsidRDefault="00EC7E61" w:rsidP="00EC7E61">
      <w:pPr>
        <w:pStyle w:val="EndNoteBibliography"/>
        <w:ind w:left="720" w:hanging="720"/>
        <w:jc w:val="left"/>
        <w:rPr>
          <w:noProof/>
        </w:rPr>
      </w:pPr>
      <w:r w:rsidRPr="00B51040">
        <w:rPr>
          <w:noProof/>
        </w:rPr>
        <w:t xml:space="preserve">Bromiley, P. and D. Rau (2014). 'Towards a practice-based view of strategy', </w:t>
      </w:r>
      <w:r w:rsidRPr="00B51040">
        <w:rPr>
          <w:i/>
          <w:noProof/>
        </w:rPr>
        <w:t>Strategic Management Journal,</w:t>
      </w:r>
      <w:r w:rsidRPr="00B51040">
        <w:rPr>
          <w:noProof/>
        </w:rPr>
        <w:t xml:space="preserve"> </w:t>
      </w:r>
      <w:r w:rsidRPr="00B51040">
        <w:rPr>
          <w:b/>
          <w:noProof/>
        </w:rPr>
        <w:t xml:space="preserve">35, </w:t>
      </w:r>
      <w:r w:rsidRPr="00B51040">
        <w:rPr>
          <w:noProof/>
        </w:rPr>
        <w:t>pp. 1249-1256.</w:t>
      </w:r>
    </w:p>
    <w:p w14:paraId="60646855" w14:textId="77777777" w:rsidR="00EC7E61" w:rsidRPr="00B51040" w:rsidRDefault="00EC7E61" w:rsidP="00EC7E61">
      <w:pPr>
        <w:pStyle w:val="EndNoteBibliography"/>
        <w:ind w:left="720" w:hanging="720"/>
        <w:jc w:val="left"/>
        <w:rPr>
          <w:noProof/>
        </w:rPr>
      </w:pPr>
      <w:r w:rsidRPr="00B51040">
        <w:rPr>
          <w:noProof/>
        </w:rPr>
        <w:t xml:space="preserve">Bromiley, P. and M. Washburn (2011). 'Cost reduction vs innovative search in R&amp;D', </w:t>
      </w:r>
      <w:r w:rsidRPr="00B51040">
        <w:rPr>
          <w:i/>
          <w:noProof/>
        </w:rPr>
        <w:t>Journal of Strategy and Management,</w:t>
      </w:r>
      <w:r w:rsidRPr="00B51040">
        <w:rPr>
          <w:noProof/>
        </w:rPr>
        <w:t xml:space="preserve"> </w:t>
      </w:r>
      <w:r w:rsidRPr="00B51040">
        <w:rPr>
          <w:b/>
          <w:noProof/>
        </w:rPr>
        <w:t xml:space="preserve">4, </w:t>
      </w:r>
      <w:r w:rsidRPr="00B51040">
        <w:rPr>
          <w:noProof/>
        </w:rPr>
        <w:t>pp. 196-214.</w:t>
      </w:r>
    </w:p>
    <w:p w14:paraId="07036192" w14:textId="77777777" w:rsidR="00EC7E61" w:rsidRPr="00B51040" w:rsidRDefault="00EC7E61" w:rsidP="00EC7E61">
      <w:pPr>
        <w:pStyle w:val="EndNoteBibliography"/>
        <w:ind w:left="720" w:hanging="720"/>
        <w:jc w:val="left"/>
        <w:rPr>
          <w:noProof/>
        </w:rPr>
      </w:pPr>
      <w:r w:rsidRPr="00B51040">
        <w:rPr>
          <w:noProof/>
        </w:rPr>
        <w:t xml:space="preserve">Brown, J. D., K. A. Dutton and K. E. Cook (2010). 'From the top down: Self-esteem and self-evaluation', </w:t>
      </w:r>
      <w:r w:rsidRPr="00B51040">
        <w:rPr>
          <w:i/>
          <w:noProof/>
        </w:rPr>
        <w:t>Cognition and Emotion,</w:t>
      </w:r>
      <w:r w:rsidRPr="00B51040">
        <w:rPr>
          <w:noProof/>
        </w:rPr>
        <w:t xml:space="preserve"> </w:t>
      </w:r>
      <w:r w:rsidRPr="00B51040">
        <w:rPr>
          <w:b/>
          <w:noProof/>
        </w:rPr>
        <w:t xml:space="preserve">15, </w:t>
      </w:r>
      <w:r w:rsidRPr="00B51040">
        <w:rPr>
          <w:noProof/>
        </w:rPr>
        <w:t>pp. 615-631.</w:t>
      </w:r>
    </w:p>
    <w:p w14:paraId="27C2C59A" w14:textId="77777777" w:rsidR="00EC7E61" w:rsidRPr="00B51040" w:rsidRDefault="00EC7E61" w:rsidP="00EC7E61">
      <w:pPr>
        <w:pStyle w:val="EndNoteBibliography"/>
        <w:ind w:left="720" w:hanging="720"/>
        <w:jc w:val="left"/>
        <w:rPr>
          <w:noProof/>
        </w:rPr>
      </w:pPr>
      <w:r w:rsidRPr="00B51040">
        <w:rPr>
          <w:noProof/>
        </w:rPr>
        <w:t xml:space="preserve">Brown, R. J. and H. Zagefka (2006). 'Choice of comparisons in intergroup settings: The role of temporal information and comparison motives', </w:t>
      </w:r>
      <w:r w:rsidRPr="00B51040">
        <w:rPr>
          <w:i/>
          <w:noProof/>
        </w:rPr>
        <w:t>European Journal of Social Psychology,</w:t>
      </w:r>
      <w:r w:rsidRPr="00B51040">
        <w:rPr>
          <w:noProof/>
        </w:rPr>
        <w:t xml:space="preserve"> </w:t>
      </w:r>
      <w:r w:rsidRPr="00B51040">
        <w:rPr>
          <w:b/>
          <w:noProof/>
        </w:rPr>
        <w:t xml:space="preserve">36, </w:t>
      </w:r>
      <w:r w:rsidRPr="00B51040">
        <w:rPr>
          <w:noProof/>
        </w:rPr>
        <w:t>pp. 649-671.</w:t>
      </w:r>
    </w:p>
    <w:p w14:paraId="76237B2F" w14:textId="77777777" w:rsidR="00EC7E61" w:rsidRPr="00B51040" w:rsidRDefault="00EC7E61" w:rsidP="00EC7E61">
      <w:pPr>
        <w:pStyle w:val="EndNoteBibliography"/>
        <w:ind w:left="720" w:hanging="720"/>
        <w:jc w:val="left"/>
        <w:rPr>
          <w:noProof/>
        </w:rPr>
      </w:pPr>
      <w:r w:rsidRPr="00B51040">
        <w:rPr>
          <w:noProof/>
        </w:rPr>
        <w:t xml:space="preserve">Cable, D. M. and V. S. Kay (2012). 'Striving for self-verification during organizational entry', </w:t>
      </w:r>
      <w:r w:rsidRPr="00B51040">
        <w:rPr>
          <w:i/>
          <w:noProof/>
        </w:rPr>
        <w:t>Academy of Management Journal,</w:t>
      </w:r>
      <w:r w:rsidRPr="00B51040">
        <w:rPr>
          <w:noProof/>
        </w:rPr>
        <w:t xml:space="preserve"> </w:t>
      </w:r>
      <w:r w:rsidRPr="00B51040">
        <w:rPr>
          <w:b/>
          <w:noProof/>
        </w:rPr>
        <w:t xml:space="preserve">55, </w:t>
      </w:r>
      <w:r w:rsidRPr="00B51040">
        <w:rPr>
          <w:noProof/>
        </w:rPr>
        <w:t>pp. 360-380.</w:t>
      </w:r>
    </w:p>
    <w:p w14:paraId="4A39BCE6" w14:textId="77777777" w:rsidR="00EC7E61" w:rsidRPr="00B51040" w:rsidRDefault="00EC7E61" w:rsidP="00EC7E61">
      <w:pPr>
        <w:pStyle w:val="EndNoteBibliography"/>
        <w:ind w:left="720" w:hanging="720"/>
        <w:jc w:val="left"/>
        <w:rPr>
          <w:noProof/>
        </w:rPr>
      </w:pPr>
      <w:r w:rsidRPr="00B51040">
        <w:rPr>
          <w:noProof/>
        </w:rPr>
        <w:t xml:space="preserve">Calabrò, A., A. Minichilli, M. D. Amore and M. Brogi (2018). 'The courage to choose! Primogeniture and leadership succession in family firms', </w:t>
      </w:r>
      <w:r w:rsidRPr="00B51040">
        <w:rPr>
          <w:i/>
          <w:noProof/>
        </w:rPr>
        <w:t>Strategic Management Journal,</w:t>
      </w:r>
      <w:r w:rsidRPr="00B51040">
        <w:rPr>
          <w:noProof/>
        </w:rPr>
        <w:t xml:space="preserve"> </w:t>
      </w:r>
      <w:r w:rsidRPr="00B51040">
        <w:rPr>
          <w:b/>
          <w:noProof/>
        </w:rPr>
        <w:t xml:space="preserve">39, </w:t>
      </w:r>
      <w:r w:rsidRPr="00B51040">
        <w:rPr>
          <w:noProof/>
        </w:rPr>
        <w:t>pp. 2014-2035.</w:t>
      </w:r>
    </w:p>
    <w:p w14:paraId="2410A317" w14:textId="77777777" w:rsidR="00EC7E61" w:rsidRPr="00B51040" w:rsidRDefault="00EC7E61" w:rsidP="00EC7E61">
      <w:pPr>
        <w:pStyle w:val="EndNoteBibliography"/>
        <w:ind w:left="720" w:hanging="720"/>
        <w:jc w:val="left"/>
        <w:rPr>
          <w:noProof/>
        </w:rPr>
      </w:pPr>
      <w:r w:rsidRPr="00B51040">
        <w:rPr>
          <w:noProof/>
        </w:rPr>
        <w:t xml:space="preserve">Castellaneta, F., O. Gottschalg, A. Kacperczyk and M. Wright (2015). 'The disadvantage of incomplete performance feedback: Evidence from private equity–backed buyouts', </w:t>
      </w:r>
      <w:r w:rsidRPr="00B51040">
        <w:rPr>
          <w:i/>
          <w:noProof/>
        </w:rPr>
        <w:t>Working Paper</w:t>
      </w:r>
      <w:r w:rsidRPr="00B51040">
        <w:rPr>
          <w:noProof/>
        </w:rPr>
        <w:t>.</w:t>
      </w:r>
    </w:p>
    <w:p w14:paraId="2D4D7389" w14:textId="77777777" w:rsidR="00EC7E61" w:rsidRPr="00B51040" w:rsidRDefault="00EC7E61" w:rsidP="00EC7E61">
      <w:pPr>
        <w:pStyle w:val="EndNoteBibliography"/>
        <w:ind w:left="720" w:hanging="720"/>
        <w:jc w:val="left"/>
        <w:rPr>
          <w:noProof/>
        </w:rPr>
      </w:pPr>
      <w:r w:rsidRPr="00B51040">
        <w:rPr>
          <w:noProof/>
        </w:rPr>
        <w:t xml:space="preserve">Caves, R. E. and M. E. Porter (1977). 'From entry barriers to mobility barriers: Conjectural decisions and contrived deterrence to new competition', </w:t>
      </w:r>
      <w:r w:rsidRPr="00B51040">
        <w:rPr>
          <w:i/>
          <w:noProof/>
        </w:rPr>
        <w:t>The Quarterly Journal of Economics,</w:t>
      </w:r>
      <w:r w:rsidRPr="00B51040">
        <w:rPr>
          <w:noProof/>
        </w:rPr>
        <w:t xml:space="preserve"> </w:t>
      </w:r>
      <w:r w:rsidRPr="00B51040">
        <w:rPr>
          <w:b/>
          <w:noProof/>
        </w:rPr>
        <w:t xml:space="preserve">91, </w:t>
      </w:r>
      <w:r w:rsidRPr="00B51040">
        <w:rPr>
          <w:noProof/>
        </w:rPr>
        <w:t>pp. 241-261.</w:t>
      </w:r>
    </w:p>
    <w:p w14:paraId="0F5621DE" w14:textId="77777777" w:rsidR="00EC7E61" w:rsidRPr="00B51040" w:rsidRDefault="00EC7E61" w:rsidP="00EC7E61">
      <w:pPr>
        <w:pStyle w:val="EndNoteBibliography"/>
        <w:ind w:left="720" w:hanging="720"/>
        <w:jc w:val="left"/>
        <w:rPr>
          <w:noProof/>
        </w:rPr>
      </w:pPr>
      <w:r w:rsidRPr="00B51040">
        <w:rPr>
          <w:noProof/>
        </w:rPr>
        <w:t xml:space="preserve">Ceci, F., F. Masciarelli and A. Prencipe (2012). Mind the gap: Adapting and reorienting organizational architectures. </w:t>
      </w:r>
      <w:r w:rsidRPr="00B51040">
        <w:rPr>
          <w:i/>
          <w:noProof/>
        </w:rPr>
        <w:t>DRUID.</w:t>
      </w:r>
      <w:r w:rsidRPr="00B51040">
        <w:rPr>
          <w:noProof/>
        </w:rPr>
        <w:t xml:space="preserve"> CBS, Copenhagen, Denmark.</w:t>
      </w:r>
    </w:p>
    <w:p w14:paraId="765E05FB" w14:textId="77777777" w:rsidR="00EC7E61" w:rsidRPr="00B51040" w:rsidRDefault="00EC7E61" w:rsidP="00EC7E61">
      <w:pPr>
        <w:pStyle w:val="EndNoteBibliography"/>
        <w:ind w:left="720" w:hanging="720"/>
        <w:jc w:val="left"/>
        <w:rPr>
          <w:noProof/>
        </w:rPr>
      </w:pPr>
      <w:r w:rsidRPr="00B51040">
        <w:rPr>
          <w:noProof/>
        </w:rPr>
        <w:t xml:space="preserve">Ceci, F., F. Masciarelli and A. Prencipe (2016). 'Changes in organizational architecture: Aspiration levels, performance gaps and organizational change', </w:t>
      </w:r>
      <w:r w:rsidRPr="00B51040">
        <w:rPr>
          <w:i/>
          <w:noProof/>
        </w:rPr>
        <w:t>International Journal of Innovation and Technology Management,</w:t>
      </w:r>
      <w:r w:rsidRPr="00B51040">
        <w:rPr>
          <w:noProof/>
        </w:rPr>
        <w:t xml:space="preserve"> </w:t>
      </w:r>
      <w:r w:rsidRPr="00B51040">
        <w:rPr>
          <w:b/>
          <w:noProof/>
        </w:rPr>
        <w:t>13</w:t>
      </w:r>
      <w:r w:rsidRPr="00B51040">
        <w:rPr>
          <w:noProof/>
        </w:rPr>
        <w:t>.</w:t>
      </w:r>
    </w:p>
    <w:p w14:paraId="10186134" w14:textId="77777777" w:rsidR="00EC7E61" w:rsidRPr="00B51040" w:rsidRDefault="00EC7E61" w:rsidP="00EC7E61">
      <w:pPr>
        <w:pStyle w:val="EndNoteBibliography"/>
        <w:ind w:left="720" w:hanging="720"/>
        <w:jc w:val="left"/>
        <w:rPr>
          <w:noProof/>
        </w:rPr>
      </w:pPr>
      <w:r w:rsidRPr="00B51040">
        <w:rPr>
          <w:noProof/>
        </w:rPr>
        <w:t xml:space="preserve">Chen, W.-R. (2008). 'Determinants of firms' backward- and forward-looking R&amp;D search behavior', </w:t>
      </w:r>
      <w:r w:rsidRPr="00B51040">
        <w:rPr>
          <w:i/>
          <w:noProof/>
        </w:rPr>
        <w:t>Organization Science,</w:t>
      </w:r>
      <w:r w:rsidRPr="00B51040">
        <w:rPr>
          <w:noProof/>
        </w:rPr>
        <w:t xml:space="preserve"> </w:t>
      </w:r>
      <w:r w:rsidRPr="00B51040">
        <w:rPr>
          <w:b/>
          <w:noProof/>
        </w:rPr>
        <w:t xml:space="preserve">19, </w:t>
      </w:r>
      <w:r w:rsidRPr="00B51040">
        <w:rPr>
          <w:noProof/>
        </w:rPr>
        <w:t>pp. 609-622.</w:t>
      </w:r>
    </w:p>
    <w:p w14:paraId="1255B47A" w14:textId="77777777" w:rsidR="00EC7E61" w:rsidRPr="00B51040" w:rsidRDefault="00EC7E61" w:rsidP="00EC7E61">
      <w:pPr>
        <w:pStyle w:val="EndNoteBibliography"/>
        <w:ind w:left="720" w:hanging="720"/>
        <w:jc w:val="left"/>
        <w:rPr>
          <w:noProof/>
        </w:rPr>
      </w:pPr>
      <w:r w:rsidRPr="00B51040">
        <w:rPr>
          <w:noProof/>
        </w:rPr>
        <w:t xml:space="preserve">Chen, X. and Q. Li (2021). 'Environmental regulation, subsidy and underperforming firms' R&amp;D expenditure: evidence from Chinese listed companies', </w:t>
      </w:r>
      <w:r w:rsidRPr="00B51040">
        <w:rPr>
          <w:i/>
          <w:noProof/>
        </w:rPr>
        <w:t>International Journal of Technology Management,</w:t>
      </w:r>
      <w:r w:rsidRPr="00B51040">
        <w:rPr>
          <w:noProof/>
        </w:rPr>
        <w:t xml:space="preserve"> </w:t>
      </w:r>
      <w:r w:rsidRPr="00B51040">
        <w:rPr>
          <w:b/>
          <w:noProof/>
        </w:rPr>
        <w:t>85</w:t>
      </w:r>
      <w:r w:rsidRPr="00B51040">
        <w:rPr>
          <w:noProof/>
        </w:rPr>
        <w:t>.</w:t>
      </w:r>
    </w:p>
    <w:p w14:paraId="7CF962B7" w14:textId="77777777" w:rsidR="00EC7E61" w:rsidRPr="00B51040" w:rsidRDefault="00EC7E61" w:rsidP="00EC7E61">
      <w:pPr>
        <w:pStyle w:val="EndNoteBibliography"/>
        <w:ind w:left="720" w:hanging="720"/>
        <w:jc w:val="left"/>
        <w:rPr>
          <w:noProof/>
        </w:rPr>
      </w:pPr>
      <w:r w:rsidRPr="00B51040">
        <w:rPr>
          <w:noProof/>
        </w:rPr>
        <w:t xml:space="preserve">Cheng, L., M. Nan, A. J. Fang and E. Xie (2021). Performance feedback and firms’ relative strategic emphasis. </w:t>
      </w:r>
      <w:r w:rsidRPr="00B51040">
        <w:rPr>
          <w:i/>
          <w:noProof/>
        </w:rPr>
        <w:t>2021 Academy of Management Annual Meeting.</w:t>
      </w:r>
      <w:r w:rsidRPr="00B51040">
        <w:rPr>
          <w:noProof/>
        </w:rPr>
        <w:t xml:space="preserve"> Virtual.</w:t>
      </w:r>
    </w:p>
    <w:p w14:paraId="064D01BE" w14:textId="77777777" w:rsidR="00EC7E61" w:rsidRPr="00B51040" w:rsidRDefault="00EC7E61" w:rsidP="00EC7E61">
      <w:pPr>
        <w:pStyle w:val="EndNoteBibliography"/>
        <w:ind w:left="720" w:hanging="720"/>
        <w:jc w:val="left"/>
        <w:rPr>
          <w:noProof/>
        </w:rPr>
      </w:pPr>
      <w:r w:rsidRPr="00B51040">
        <w:rPr>
          <w:noProof/>
        </w:rPr>
        <w:t xml:space="preserve">Choi, J., N. Goldschlag, J. C. Haltiwanger and J. D. Kim (2021). 'Founding teams and startup performance', </w:t>
      </w:r>
      <w:r w:rsidRPr="00B51040">
        <w:rPr>
          <w:i/>
          <w:noProof/>
        </w:rPr>
        <w:t>NBER Working Paper,</w:t>
      </w:r>
      <w:r w:rsidRPr="00B51040">
        <w:rPr>
          <w:noProof/>
        </w:rPr>
        <w:t xml:space="preserve"> </w:t>
      </w:r>
      <w:r w:rsidRPr="00B51040">
        <w:rPr>
          <w:b/>
          <w:noProof/>
        </w:rPr>
        <w:t>28417</w:t>
      </w:r>
      <w:r w:rsidRPr="00B51040">
        <w:rPr>
          <w:noProof/>
        </w:rPr>
        <w:t>.</w:t>
      </w:r>
    </w:p>
    <w:p w14:paraId="534881DB" w14:textId="77777777" w:rsidR="00EC7E61" w:rsidRPr="00B51040" w:rsidRDefault="00EC7E61" w:rsidP="00EC7E61">
      <w:pPr>
        <w:pStyle w:val="EndNoteBibliography"/>
        <w:ind w:left="720" w:hanging="720"/>
        <w:jc w:val="left"/>
        <w:rPr>
          <w:noProof/>
        </w:rPr>
      </w:pPr>
      <w:r w:rsidRPr="00B51040">
        <w:rPr>
          <w:noProof/>
        </w:rPr>
        <w:t xml:space="preserve">Chrisman, J. J. and P. C. Patel (2012). 'Variations in R&amp;D investments of family and nonfamily firms: Behavioral agency and myopic loss aversion perspectives', </w:t>
      </w:r>
      <w:r w:rsidRPr="00B51040">
        <w:rPr>
          <w:i/>
          <w:noProof/>
        </w:rPr>
        <w:t>Academy of Management Journal,</w:t>
      </w:r>
      <w:r w:rsidRPr="00B51040">
        <w:rPr>
          <w:noProof/>
        </w:rPr>
        <w:t xml:space="preserve"> </w:t>
      </w:r>
      <w:r w:rsidRPr="00B51040">
        <w:rPr>
          <w:b/>
          <w:noProof/>
        </w:rPr>
        <w:t xml:space="preserve">55, </w:t>
      </w:r>
      <w:r w:rsidRPr="00B51040">
        <w:rPr>
          <w:noProof/>
        </w:rPr>
        <w:t>pp. 976-997.</w:t>
      </w:r>
    </w:p>
    <w:p w14:paraId="1FAA925E" w14:textId="77777777" w:rsidR="00EC7E61" w:rsidRPr="00B51040" w:rsidRDefault="00EC7E61" w:rsidP="00EC7E61">
      <w:pPr>
        <w:pStyle w:val="EndNoteBibliography"/>
        <w:ind w:left="720" w:hanging="720"/>
        <w:jc w:val="left"/>
        <w:rPr>
          <w:noProof/>
        </w:rPr>
      </w:pPr>
      <w:r w:rsidRPr="00B51040">
        <w:rPr>
          <w:noProof/>
        </w:rPr>
        <w:lastRenderedPageBreak/>
        <w:t xml:space="preserve">Civettini, N. H. W. (2012). Self-enhancement versus self-verification: Physiological and self-report responses to status dissonance. In: W. Kalkhoff, S. R. Thye and E. J. Lawler (eds.), </w:t>
      </w:r>
      <w:r w:rsidRPr="00B51040">
        <w:rPr>
          <w:i/>
          <w:noProof/>
        </w:rPr>
        <w:t>Biosociology and Neurosociology.</w:t>
      </w:r>
      <w:r w:rsidRPr="00B51040">
        <w:rPr>
          <w:noProof/>
        </w:rPr>
        <w:t xml:space="preserve"> pp. 201-223. New York, NY: Emerald Group Publishing Limited.</w:t>
      </w:r>
    </w:p>
    <w:p w14:paraId="6DBDD186" w14:textId="77777777" w:rsidR="00EC7E61" w:rsidRPr="00B51040" w:rsidRDefault="00EC7E61" w:rsidP="00EC7E61">
      <w:pPr>
        <w:pStyle w:val="EndNoteBibliography"/>
        <w:ind w:left="720" w:hanging="720"/>
        <w:jc w:val="left"/>
        <w:rPr>
          <w:noProof/>
        </w:rPr>
      </w:pPr>
      <w:r w:rsidRPr="00B51040">
        <w:rPr>
          <w:noProof/>
        </w:rPr>
        <w:t xml:space="preserve">Collins, R. L. (1996). 'For better or worse: The impact of upward social comparison on self-evaluations', </w:t>
      </w:r>
      <w:r w:rsidRPr="00B51040">
        <w:rPr>
          <w:i/>
          <w:noProof/>
        </w:rPr>
        <w:t>Psychological Bulletin,</w:t>
      </w:r>
      <w:r w:rsidRPr="00B51040">
        <w:rPr>
          <w:noProof/>
        </w:rPr>
        <w:t xml:space="preserve"> </w:t>
      </w:r>
      <w:r w:rsidRPr="00B51040">
        <w:rPr>
          <w:b/>
          <w:noProof/>
        </w:rPr>
        <w:t xml:space="preserve">119, </w:t>
      </w:r>
      <w:r w:rsidRPr="00B51040">
        <w:rPr>
          <w:noProof/>
        </w:rPr>
        <w:t>pp. 51-59.</w:t>
      </w:r>
    </w:p>
    <w:p w14:paraId="261BF66B" w14:textId="77777777" w:rsidR="00EC7E61" w:rsidRPr="00B51040" w:rsidRDefault="00EC7E61" w:rsidP="00EC7E61">
      <w:pPr>
        <w:pStyle w:val="EndNoteBibliography"/>
        <w:ind w:left="720" w:hanging="720"/>
        <w:jc w:val="left"/>
        <w:rPr>
          <w:noProof/>
        </w:rPr>
      </w:pPr>
      <w:r w:rsidRPr="00B51040">
        <w:rPr>
          <w:noProof/>
        </w:rPr>
        <w:t xml:space="preserve">Colvin, C. R. and R. Griffo (2007). On the psychological cost of self-enhancement. In: E. C. Chang (ed.) </w:t>
      </w:r>
      <w:r w:rsidRPr="00B51040">
        <w:rPr>
          <w:i/>
          <w:noProof/>
        </w:rPr>
        <w:t>Self-criticism and self-enhancement: Theory, research and clinical implications.</w:t>
      </w:r>
      <w:r w:rsidRPr="00B51040">
        <w:rPr>
          <w:noProof/>
        </w:rPr>
        <w:t xml:space="preserve"> pp. 19-35. Washington, D.C.: American Psychological Association.</w:t>
      </w:r>
    </w:p>
    <w:p w14:paraId="19C940B6" w14:textId="77777777" w:rsidR="00EC7E61" w:rsidRPr="00B51040" w:rsidRDefault="00EC7E61" w:rsidP="00EC7E61">
      <w:pPr>
        <w:pStyle w:val="EndNoteBibliography"/>
        <w:ind w:left="720" w:hanging="720"/>
        <w:jc w:val="left"/>
        <w:rPr>
          <w:noProof/>
        </w:rPr>
      </w:pPr>
      <w:r w:rsidRPr="00B51040">
        <w:rPr>
          <w:noProof/>
        </w:rPr>
        <w:t xml:space="preserve">Combs, J. G., T. R. Crook and A. Rauch (2018). 'Meta‐analytic research in management: Contemporary approaches, unresolved controversies, and rising standards', </w:t>
      </w:r>
      <w:r w:rsidRPr="00B51040">
        <w:rPr>
          <w:i/>
          <w:noProof/>
        </w:rPr>
        <w:t>Journal of Management Studies,</w:t>
      </w:r>
      <w:r w:rsidRPr="00B51040">
        <w:rPr>
          <w:noProof/>
        </w:rPr>
        <w:t xml:space="preserve"> </w:t>
      </w:r>
      <w:r w:rsidRPr="00B51040">
        <w:rPr>
          <w:b/>
          <w:noProof/>
        </w:rPr>
        <w:t xml:space="preserve">56, </w:t>
      </w:r>
      <w:r w:rsidRPr="00B51040">
        <w:rPr>
          <w:noProof/>
        </w:rPr>
        <w:t>pp. 1-18.</w:t>
      </w:r>
    </w:p>
    <w:p w14:paraId="58C457CA" w14:textId="77777777" w:rsidR="00EC7E61" w:rsidRPr="00B51040" w:rsidRDefault="00EC7E61" w:rsidP="00EC7E61">
      <w:pPr>
        <w:pStyle w:val="EndNoteBibliography"/>
        <w:ind w:left="720" w:hanging="720"/>
        <w:jc w:val="left"/>
        <w:rPr>
          <w:noProof/>
        </w:rPr>
      </w:pPr>
      <w:r w:rsidRPr="00B51040">
        <w:rPr>
          <w:noProof/>
        </w:rPr>
        <w:t xml:space="preserve">Crook, T. R., D. J. Ketchen, J. G. Combs and S. Y. Todd (2008). 'Strategic resources and performance: a meta-analysis', </w:t>
      </w:r>
      <w:r w:rsidRPr="00B51040">
        <w:rPr>
          <w:i/>
          <w:noProof/>
        </w:rPr>
        <w:t>Strategic Management Journal,</w:t>
      </w:r>
      <w:r w:rsidRPr="00B51040">
        <w:rPr>
          <w:noProof/>
        </w:rPr>
        <w:t xml:space="preserve"> </w:t>
      </w:r>
      <w:r w:rsidRPr="00B51040">
        <w:rPr>
          <w:b/>
          <w:noProof/>
        </w:rPr>
        <w:t xml:space="preserve">29, </w:t>
      </w:r>
      <w:r w:rsidRPr="00B51040">
        <w:rPr>
          <w:noProof/>
        </w:rPr>
        <w:t>pp. 1141-1154.</w:t>
      </w:r>
    </w:p>
    <w:p w14:paraId="7F68B9C5" w14:textId="77777777" w:rsidR="00EC7E61" w:rsidRPr="00B51040" w:rsidRDefault="00EC7E61" w:rsidP="00EC7E61">
      <w:pPr>
        <w:pStyle w:val="EndNoteBibliography"/>
        <w:ind w:left="720" w:hanging="720"/>
        <w:jc w:val="left"/>
        <w:rPr>
          <w:noProof/>
        </w:rPr>
      </w:pPr>
      <w:r w:rsidRPr="00B51040">
        <w:rPr>
          <w:noProof/>
        </w:rPr>
        <w:t xml:space="preserve">Cyert, R. M. and J. G. March (1992). </w:t>
      </w:r>
      <w:r w:rsidRPr="00B51040">
        <w:rPr>
          <w:i/>
          <w:noProof/>
        </w:rPr>
        <w:t xml:space="preserve">A behavioral theory of the firm, </w:t>
      </w:r>
      <w:r w:rsidRPr="00B51040">
        <w:rPr>
          <w:noProof/>
        </w:rPr>
        <w:t>Blackwell Publishers, Malden, MA.</w:t>
      </w:r>
    </w:p>
    <w:p w14:paraId="6FABAF27" w14:textId="77777777" w:rsidR="00EC7E61" w:rsidRPr="00B51040" w:rsidRDefault="00EC7E61" w:rsidP="00EC7E61">
      <w:pPr>
        <w:pStyle w:val="EndNoteBibliography"/>
        <w:ind w:left="720" w:hanging="720"/>
        <w:jc w:val="left"/>
        <w:rPr>
          <w:noProof/>
        </w:rPr>
      </w:pPr>
      <w:r w:rsidRPr="00B51040">
        <w:rPr>
          <w:noProof/>
        </w:rPr>
        <w:t xml:space="preserve">Deb, P., P. David, J. P. O'Brien and A. Duru (2019). 'Attainment discrepancy and investment: Effects on firm performance', </w:t>
      </w:r>
      <w:r w:rsidRPr="00B51040">
        <w:rPr>
          <w:i/>
          <w:noProof/>
        </w:rPr>
        <w:t>Journal of Business Research,</w:t>
      </w:r>
      <w:r w:rsidRPr="00B51040">
        <w:rPr>
          <w:noProof/>
        </w:rPr>
        <w:t xml:space="preserve"> </w:t>
      </w:r>
      <w:r w:rsidRPr="00B51040">
        <w:rPr>
          <w:b/>
          <w:noProof/>
        </w:rPr>
        <w:t xml:space="preserve">99, </w:t>
      </w:r>
      <w:r w:rsidRPr="00B51040">
        <w:rPr>
          <w:noProof/>
        </w:rPr>
        <w:t>pp. 186-196.</w:t>
      </w:r>
    </w:p>
    <w:p w14:paraId="286B5D49" w14:textId="77777777" w:rsidR="00EC7E61" w:rsidRPr="00B51040" w:rsidRDefault="00EC7E61" w:rsidP="00EC7E61">
      <w:pPr>
        <w:pStyle w:val="EndNoteBibliography"/>
        <w:ind w:left="720" w:hanging="720"/>
        <w:jc w:val="left"/>
        <w:rPr>
          <w:noProof/>
        </w:rPr>
      </w:pPr>
      <w:r w:rsidRPr="00612C49">
        <w:rPr>
          <w:noProof/>
          <w:lang w:val="de-DE"/>
        </w:rPr>
        <w:t xml:space="preserve">Delmar, F. and K. Wennberg (2007). </w:t>
      </w:r>
      <w:r w:rsidRPr="00B51040">
        <w:rPr>
          <w:noProof/>
        </w:rPr>
        <w:t xml:space="preserve">'Risk taking, aspiration levels and the evolution of new ventures', </w:t>
      </w:r>
      <w:r w:rsidRPr="00B51040">
        <w:rPr>
          <w:i/>
          <w:noProof/>
        </w:rPr>
        <w:t>Frontiers of Entrepreneurship Research,</w:t>
      </w:r>
      <w:r w:rsidRPr="00B51040">
        <w:rPr>
          <w:noProof/>
        </w:rPr>
        <w:t xml:space="preserve"> </w:t>
      </w:r>
      <w:r w:rsidRPr="00B51040">
        <w:rPr>
          <w:b/>
          <w:noProof/>
        </w:rPr>
        <w:t>27</w:t>
      </w:r>
      <w:r w:rsidRPr="00B51040">
        <w:rPr>
          <w:noProof/>
        </w:rPr>
        <w:t>.</w:t>
      </w:r>
    </w:p>
    <w:p w14:paraId="39E68593" w14:textId="77777777" w:rsidR="00EC7E61" w:rsidRPr="00B51040" w:rsidRDefault="00EC7E61" w:rsidP="00EC7E61">
      <w:pPr>
        <w:pStyle w:val="EndNoteBibliography"/>
        <w:ind w:left="720" w:hanging="720"/>
        <w:jc w:val="left"/>
        <w:rPr>
          <w:noProof/>
        </w:rPr>
      </w:pPr>
      <w:r w:rsidRPr="00B51040">
        <w:rPr>
          <w:noProof/>
        </w:rPr>
        <w:t xml:space="preserve">Denrell, J. (2003). 'Vicarious learning, undersampling of failure, and the myths of management', </w:t>
      </w:r>
      <w:r w:rsidRPr="00B51040">
        <w:rPr>
          <w:i/>
          <w:noProof/>
        </w:rPr>
        <w:t>Organization Science,</w:t>
      </w:r>
      <w:r w:rsidRPr="00B51040">
        <w:rPr>
          <w:noProof/>
        </w:rPr>
        <w:t xml:space="preserve"> </w:t>
      </w:r>
      <w:r w:rsidRPr="00B51040">
        <w:rPr>
          <w:b/>
          <w:noProof/>
        </w:rPr>
        <w:t xml:space="preserve">14, </w:t>
      </w:r>
      <w:r w:rsidRPr="00B51040">
        <w:rPr>
          <w:noProof/>
        </w:rPr>
        <w:t>pp. 227-243.</w:t>
      </w:r>
    </w:p>
    <w:p w14:paraId="5B9F19E3" w14:textId="77777777" w:rsidR="00EC7E61" w:rsidRPr="00B51040" w:rsidRDefault="00EC7E61" w:rsidP="00EC7E61">
      <w:pPr>
        <w:pStyle w:val="EndNoteBibliography"/>
        <w:ind w:left="720" w:hanging="720"/>
        <w:jc w:val="left"/>
        <w:rPr>
          <w:noProof/>
        </w:rPr>
      </w:pPr>
      <w:r w:rsidRPr="00B51040">
        <w:rPr>
          <w:noProof/>
        </w:rPr>
        <w:t xml:space="preserve">Desai, V. M. (2008). 'Constrained growth: How experience, legitimacy, and age influence risk taking in organizations', </w:t>
      </w:r>
      <w:r w:rsidRPr="00B51040">
        <w:rPr>
          <w:i/>
          <w:noProof/>
        </w:rPr>
        <w:t>Organization Science,</w:t>
      </w:r>
      <w:r w:rsidRPr="00B51040">
        <w:rPr>
          <w:noProof/>
        </w:rPr>
        <w:t xml:space="preserve"> </w:t>
      </w:r>
      <w:r w:rsidRPr="00B51040">
        <w:rPr>
          <w:b/>
          <w:noProof/>
        </w:rPr>
        <w:t xml:space="preserve">19, </w:t>
      </w:r>
      <w:r w:rsidRPr="00B51040">
        <w:rPr>
          <w:noProof/>
        </w:rPr>
        <w:t>pp. 594-608.</w:t>
      </w:r>
    </w:p>
    <w:p w14:paraId="01B1103B" w14:textId="77777777" w:rsidR="00EC7E61" w:rsidRPr="00B51040" w:rsidRDefault="00EC7E61" w:rsidP="00EC7E61">
      <w:pPr>
        <w:pStyle w:val="EndNoteBibliography"/>
        <w:ind w:left="720" w:hanging="720"/>
        <w:jc w:val="left"/>
        <w:rPr>
          <w:noProof/>
        </w:rPr>
      </w:pPr>
      <w:r w:rsidRPr="00B51040">
        <w:rPr>
          <w:noProof/>
        </w:rPr>
        <w:t xml:space="preserve">Desai, V. M. (2015). 'The behavioral theory of the (governed) firm: Corporate board bnfluences on organizations' responses to performance shortfalls.', </w:t>
      </w:r>
      <w:r w:rsidRPr="00B51040">
        <w:rPr>
          <w:i/>
          <w:noProof/>
        </w:rPr>
        <w:t>Academy of Management Journal</w:t>
      </w:r>
      <w:r w:rsidRPr="00B51040">
        <w:rPr>
          <w:noProof/>
        </w:rPr>
        <w:t>.</w:t>
      </w:r>
    </w:p>
    <w:p w14:paraId="00C85718" w14:textId="77777777" w:rsidR="00EC7E61" w:rsidRPr="00B51040" w:rsidRDefault="00EC7E61" w:rsidP="00EC7E61">
      <w:pPr>
        <w:pStyle w:val="EndNoteBibliography"/>
        <w:ind w:left="720" w:hanging="720"/>
        <w:jc w:val="left"/>
        <w:rPr>
          <w:noProof/>
        </w:rPr>
      </w:pPr>
      <w:r w:rsidRPr="00B51040">
        <w:rPr>
          <w:noProof/>
        </w:rPr>
        <w:t xml:space="preserve">Dong, J. Q., P. P. Karhade, A. Rai and S. X. Xu (2021). 'How Firms Make Information Technology Investment Decisions: Toward a Behavioral Agency Theory', </w:t>
      </w:r>
      <w:r w:rsidRPr="00B51040">
        <w:rPr>
          <w:i/>
          <w:noProof/>
        </w:rPr>
        <w:t>Journal of Management Information Systems,</w:t>
      </w:r>
      <w:r w:rsidRPr="00B51040">
        <w:rPr>
          <w:noProof/>
        </w:rPr>
        <w:t xml:space="preserve"> </w:t>
      </w:r>
      <w:r w:rsidRPr="00B51040">
        <w:rPr>
          <w:b/>
          <w:noProof/>
        </w:rPr>
        <w:t xml:space="preserve">38, </w:t>
      </w:r>
      <w:r w:rsidRPr="00B51040">
        <w:rPr>
          <w:noProof/>
        </w:rPr>
        <w:t>pp. 29-58.</w:t>
      </w:r>
    </w:p>
    <w:p w14:paraId="20C1D4EB" w14:textId="77777777" w:rsidR="00EC7E61" w:rsidRPr="00B51040" w:rsidRDefault="00EC7E61" w:rsidP="00EC7E61">
      <w:pPr>
        <w:pStyle w:val="EndNoteBibliography"/>
        <w:ind w:left="720" w:hanging="720"/>
        <w:jc w:val="left"/>
        <w:rPr>
          <w:noProof/>
        </w:rPr>
      </w:pPr>
      <w:r w:rsidRPr="00B51040">
        <w:rPr>
          <w:noProof/>
        </w:rPr>
        <w:t xml:space="preserve">Duval, S. J. and R. L. Tweedie (2000). 'Trim and fill: A simple funnel plot-based method of testing and adjusting for publication bias in meta-analysis', </w:t>
      </w:r>
      <w:r w:rsidRPr="00B51040">
        <w:rPr>
          <w:i/>
          <w:noProof/>
        </w:rPr>
        <w:t>Biometrics,</w:t>
      </w:r>
      <w:r w:rsidRPr="00B51040">
        <w:rPr>
          <w:noProof/>
        </w:rPr>
        <w:t xml:space="preserve"> </w:t>
      </w:r>
      <w:r w:rsidRPr="00B51040">
        <w:rPr>
          <w:b/>
          <w:noProof/>
        </w:rPr>
        <w:t xml:space="preserve">56, </w:t>
      </w:r>
      <w:r w:rsidRPr="00B51040">
        <w:rPr>
          <w:noProof/>
        </w:rPr>
        <w:t>pp. 455-463.</w:t>
      </w:r>
    </w:p>
    <w:p w14:paraId="4711F163" w14:textId="77777777" w:rsidR="00EC7E61" w:rsidRPr="00B51040" w:rsidRDefault="00EC7E61" w:rsidP="00EC7E61">
      <w:pPr>
        <w:pStyle w:val="EndNoteBibliography"/>
        <w:ind w:left="720" w:hanging="720"/>
        <w:jc w:val="left"/>
        <w:rPr>
          <w:noProof/>
        </w:rPr>
      </w:pPr>
      <w:r w:rsidRPr="00B51040">
        <w:rPr>
          <w:noProof/>
        </w:rPr>
        <w:t xml:space="preserve">Dweck, C. S. (2006). </w:t>
      </w:r>
      <w:r w:rsidRPr="00B51040">
        <w:rPr>
          <w:i/>
          <w:noProof/>
        </w:rPr>
        <w:t xml:space="preserve">Mindset: The new psychology of success, </w:t>
      </w:r>
      <w:r w:rsidRPr="00B51040">
        <w:rPr>
          <w:noProof/>
        </w:rPr>
        <w:t>Random House, New York, NY.</w:t>
      </w:r>
    </w:p>
    <w:p w14:paraId="16664E9A" w14:textId="77777777" w:rsidR="00EC7E61" w:rsidRPr="00B51040" w:rsidRDefault="00EC7E61" w:rsidP="00EC7E61">
      <w:pPr>
        <w:pStyle w:val="EndNoteBibliography"/>
        <w:ind w:left="720" w:hanging="720"/>
        <w:jc w:val="left"/>
        <w:rPr>
          <w:noProof/>
        </w:rPr>
      </w:pPr>
      <w:r w:rsidRPr="00B51040">
        <w:rPr>
          <w:noProof/>
        </w:rPr>
        <w:t xml:space="preserve">Eden, D. (2002). 'From the editors: Replication, meta-analysis, scientific progress, and AMJ's publication policy', </w:t>
      </w:r>
      <w:r w:rsidRPr="00B51040">
        <w:rPr>
          <w:i/>
          <w:noProof/>
        </w:rPr>
        <w:t>Academy of Management Journal,</w:t>
      </w:r>
      <w:r w:rsidRPr="00B51040">
        <w:rPr>
          <w:noProof/>
        </w:rPr>
        <w:t xml:space="preserve"> </w:t>
      </w:r>
      <w:r w:rsidRPr="00B51040">
        <w:rPr>
          <w:b/>
          <w:noProof/>
        </w:rPr>
        <w:t xml:space="preserve">45, </w:t>
      </w:r>
      <w:r w:rsidRPr="00B51040">
        <w:rPr>
          <w:noProof/>
        </w:rPr>
        <w:t>pp. 841-846.</w:t>
      </w:r>
    </w:p>
    <w:p w14:paraId="6DE22DD4" w14:textId="77777777" w:rsidR="00EC7E61" w:rsidRPr="00B51040" w:rsidRDefault="00EC7E61" w:rsidP="00EC7E61">
      <w:pPr>
        <w:pStyle w:val="EndNoteBibliography"/>
        <w:ind w:left="720" w:hanging="720"/>
        <w:jc w:val="left"/>
        <w:rPr>
          <w:noProof/>
        </w:rPr>
      </w:pPr>
      <w:r w:rsidRPr="00B51040">
        <w:rPr>
          <w:noProof/>
        </w:rPr>
        <w:t xml:space="preserve">Eggers, J. P. and A. Kaul (2018). 'Motivation and ability? A behavioral perspective on the pursuit of radical invention in multi-technology incumbents', </w:t>
      </w:r>
      <w:r w:rsidRPr="00B51040">
        <w:rPr>
          <w:i/>
          <w:noProof/>
        </w:rPr>
        <w:t>Academy of Management Journal,</w:t>
      </w:r>
      <w:r w:rsidRPr="00B51040">
        <w:rPr>
          <w:noProof/>
        </w:rPr>
        <w:t xml:space="preserve"> </w:t>
      </w:r>
      <w:r w:rsidRPr="00B51040">
        <w:rPr>
          <w:b/>
          <w:noProof/>
        </w:rPr>
        <w:t xml:space="preserve">61, </w:t>
      </w:r>
      <w:r w:rsidRPr="00B51040">
        <w:rPr>
          <w:noProof/>
        </w:rPr>
        <w:t>pp. 67-93.</w:t>
      </w:r>
    </w:p>
    <w:p w14:paraId="19050D96" w14:textId="77777777" w:rsidR="00EC7E61" w:rsidRPr="00B51040" w:rsidRDefault="00EC7E61" w:rsidP="00EC7E61">
      <w:pPr>
        <w:pStyle w:val="EndNoteBibliography"/>
        <w:ind w:left="720" w:hanging="720"/>
        <w:jc w:val="left"/>
        <w:rPr>
          <w:noProof/>
        </w:rPr>
      </w:pPr>
      <w:r w:rsidRPr="00B51040">
        <w:rPr>
          <w:noProof/>
        </w:rPr>
        <w:t xml:space="preserve">Elliot, A. J. and R. R. Mapes (2005). Approach-avoidance motivation and self-concept evaluation. In: A. Tesser, J. V. Wood and D. A. Stapel (eds.), </w:t>
      </w:r>
      <w:r w:rsidRPr="00B51040">
        <w:rPr>
          <w:i/>
          <w:noProof/>
        </w:rPr>
        <w:t>On Building, Defending, and Regulating the Self.</w:t>
      </w:r>
      <w:r w:rsidRPr="00B51040">
        <w:rPr>
          <w:noProof/>
        </w:rPr>
        <w:t xml:space="preserve"> pp. 171-196. New York, NY: Psychology Press.</w:t>
      </w:r>
    </w:p>
    <w:p w14:paraId="71E6F8CC" w14:textId="77777777" w:rsidR="00EC7E61" w:rsidRPr="00B51040" w:rsidRDefault="00EC7E61" w:rsidP="00EC7E61">
      <w:pPr>
        <w:pStyle w:val="EndNoteBibliography"/>
        <w:ind w:left="720" w:hanging="720"/>
        <w:jc w:val="left"/>
        <w:rPr>
          <w:noProof/>
        </w:rPr>
      </w:pPr>
      <w:r w:rsidRPr="00B51040">
        <w:rPr>
          <w:noProof/>
        </w:rPr>
        <w:t xml:space="preserve">Elliott, E. S. and C. S. Dweck (1988). 'Goals: An approach to motivation and achievement', </w:t>
      </w:r>
      <w:r w:rsidRPr="00B51040">
        <w:rPr>
          <w:i/>
          <w:noProof/>
        </w:rPr>
        <w:t>Journal of Personality and Social Psychology,</w:t>
      </w:r>
      <w:r w:rsidRPr="00B51040">
        <w:rPr>
          <w:noProof/>
        </w:rPr>
        <w:t xml:space="preserve"> </w:t>
      </w:r>
      <w:r w:rsidRPr="00B51040">
        <w:rPr>
          <w:b/>
          <w:noProof/>
        </w:rPr>
        <w:t xml:space="preserve">54, </w:t>
      </w:r>
      <w:r w:rsidRPr="00B51040">
        <w:rPr>
          <w:noProof/>
        </w:rPr>
        <w:t>pp. 5-12.</w:t>
      </w:r>
    </w:p>
    <w:p w14:paraId="44E3AAFC" w14:textId="77777777" w:rsidR="00EC7E61" w:rsidRPr="00B51040" w:rsidRDefault="00EC7E61" w:rsidP="00EC7E61">
      <w:pPr>
        <w:pStyle w:val="EndNoteBibliography"/>
        <w:ind w:left="720" w:hanging="720"/>
        <w:jc w:val="left"/>
        <w:rPr>
          <w:noProof/>
        </w:rPr>
      </w:pPr>
      <w:r w:rsidRPr="00B51040">
        <w:rPr>
          <w:noProof/>
        </w:rPr>
        <w:t xml:space="preserve">Festinger, L. (1954). 'A theory of social comparison processes', </w:t>
      </w:r>
      <w:r w:rsidRPr="00B51040">
        <w:rPr>
          <w:i/>
          <w:noProof/>
        </w:rPr>
        <w:t>Human Relations,</w:t>
      </w:r>
      <w:r w:rsidRPr="00B51040">
        <w:rPr>
          <w:noProof/>
        </w:rPr>
        <w:t xml:space="preserve"> </w:t>
      </w:r>
      <w:r w:rsidRPr="00B51040">
        <w:rPr>
          <w:b/>
          <w:noProof/>
        </w:rPr>
        <w:t xml:space="preserve">7, </w:t>
      </w:r>
      <w:r w:rsidRPr="00B51040">
        <w:rPr>
          <w:noProof/>
        </w:rPr>
        <w:t>pp. 117-140.</w:t>
      </w:r>
    </w:p>
    <w:p w14:paraId="6D236F91" w14:textId="77777777" w:rsidR="00EC7E61" w:rsidRPr="00B51040" w:rsidRDefault="00EC7E61" w:rsidP="00EC7E61">
      <w:pPr>
        <w:pStyle w:val="EndNoteBibliography"/>
        <w:ind w:left="720" w:hanging="720"/>
        <w:jc w:val="left"/>
        <w:rPr>
          <w:noProof/>
        </w:rPr>
      </w:pPr>
      <w:r w:rsidRPr="00B51040">
        <w:rPr>
          <w:noProof/>
        </w:rPr>
        <w:t xml:space="preserve">Fiegenbaum, A. and H. Thomas (1995). 'Strategic groups as reference groups: Theory, modeling and empirical examination of industry and competitive strategy', </w:t>
      </w:r>
      <w:r w:rsidRPr="00B51040">
        <w:rPr>
          <w:i/>
          <w:noProof/>
        </w:rPr>
        <w:t>Strategic Management Journal,</w:t>
      </w:r>
      <w:r w:rsidRPr="00B51040">
        <w:rPr>
          <w:noProof/>
        </w:rPr>
        <w:t xml:space="preserve"> </w:t>
      </w:r>
      <w:r w:rsidRPr="00B51040">
        <w:rPr>
          <w:b/>
          <w:noProof/>
        </w:rPr>
        <w:t xml:space="preserve">16, </w:t>
      </w:r>
      <w:r w:rsidRPr="00B51040">
        <w:rPr>
          <w:noProof/>
        </w:rPr>
        <w:t>pp. 461-476.</w:t>
      </w:r>
    </w:p>
    <w:p w14:paraId="037C0EB5" w14:textId="77777777" w:rsidR="00EC7E61" w:rsidRPr="00B51040" w:rsidRDefault="00EC7E61" w:rsidP="00EC7E61">
      <w:pPr>
        <w:pStyle w:val="EndNoteBibliography"/>
        <w:ind w:left="720" w:hanging="720"/>
        <w:jc w:val="left"/>
        <w:rPr>
          <w:noProof/>
        </w:rPr>
      </w:pPr>
      <w:r w:rsidRPr="00B51040">
        <w:rPr>
          <w:noProof/>
        </w:rPr>
        <w:t xml:space="preserve">Gaba, V. and S. Bhattacharya (2012). 'Aspirations, innovation, and corporate venture capital: A behavioral perspective', </w:t>
      </w:r>
      <w:r w:rsidRPr="00B51040">
        <w:rPr>
          <w:i/>
          <w:noProof/>
        </w:rPr>
        <w:t>Strategic Entrepreneurship Journal,</w:t>
      </w:r>
      <w:r w:rsidRPr="00B51040">
        <w:rPr>
          <w:noProof/>
        </w:rPr>
        <w:t xml:space="preserve"> </w:t>
      </w:r>
      <w:r w:rsidRPr="00B51040">
        <w:rPr>
          <w:b/>
          <w:noProof/>
        </w:rPr>
        <w:t xml:space="preserve">6, </w:t>
      </w:r>
      <w:r w:rsidRPr="00B51040">
        <w:rPr>
          <w:noProof/>
        </w:rPr>
        <w:t>pp. 178-199.</w:t>
      </w:r>
    </w:p>
    <w:p w14:paraId="494CE123" w14:textId="77777777" w:rsidR="00EC7E61" w:rsidRPr="00B51040" w:rsidRDefault="00EC7E61" w:rsidP="00EC7E61">
      <w:pPr>
        <w:pStyle w:val="EndNoteBibliography"/>
        <w:ind w:left="720" w:hanging="720"/>
        <w:jc w:val="left"/>
        <w:rPr>
          <w:noProof/>
        </w:rPr>
      </w:pPr>
      <w:r w:rsidRPr="00B51040">
        <w:rPr>
          <w:noProof/>
        </w:rPr>
        <w:t xml:space="preserve">Gaba, V. and H. R. Greve (2019). 'Safe or profitable? The pursuit of conflicting goals', </w:t>
      </w:r>
      <w:r w:rsidRPr="00B51040">
        <w:rPr>
          <w:i/>
          <w:noProof/>
        </w:rPr>
        <w:t>Organization Science,</w:t>
      </w:r>
      <w:r w:rsidRPr="00B51040">
        <w:rPr>
          <w:noProof/>
        </w:rPr>
        <w:t xml:space="preserve"> </w:t>
      </w:r>
      <w:r w:rsidRPr="00B51040">
        <w:rPr>
          <w:b/>
          <w:noProof/>
        </w:rPr>
        <w:t xml:space="preserve">30, </w:t>
      </w:r>
      <w:r w:rsidRPr="00B51040">
        <w:rPr>
          <w:noProof/>
        </w:rPr>
        <w:t>pp. 647-667.</w:t>
      </w:r>
    </w:p>
    <w:p w14:paraId="2565DC13" w14:textId="77777777" w:rsidR="00EC7E61" w:rsidRPr="00B51040" w:rsidRDefault="00EC7E61" w:rsidP="00EC7E61">
      <w:pPr>
        <w:pStyle w:val="EndNoteBibliography"/>
        <w:ind w:left="720" w:hanging="720"/>
        <w:jc w:val="left"/>
        <w:rPr>
          <w:noProof/>
        </w:rPr>
      </w:pPr>
      <w:r w:rsidRPr="00B51040">
        <w:rPr>
          <w:noProof/>
        </w:rPr>
        <w:t xml:space="preserve">Gao, Y., H. Yang and M. Zhang (2021). 'Too bad to fear, too good to dare? Performance feedback and corporate misconduct', </w:t>
      </w:r>
      <w:r w:rsidRPr="00B51040">
        <w:rPr>
          <w:i/>
          <w:noProof/>
        </w:rPr>
        <w:t>Journal of Business Research,</w:t>
      </w:r>
      <w:r w:rsidRPr="00B51040">
        <w:rPr>
          <w:noProof/>
        </w:rPr>
        <w:t xml:space="preserve"> </w:t>
      </w:r>
      <w:r w:rsidRPr="00B51040">
        <w:rPr>
          <w:b/>
          <w:noProof/>
        </w:rPr>
        <w:t xml:space="preserve">131, </w:t>
      </w:r>
      <w:r w:rsidRPr="00B51040">
        <w:rPr>
          <w:noProof/>
        </w:rPr>
        <w:t>pp. 1-11.</w:t>
      </w:r>
    </w:p>
    <w:p w14:paraId="4FB88F01" w14:textId="77777777" w:rsidR="00EC7E61" w:rsidRPr="00B51040" w:rsidRDefault="00EC7E61" w:rsidP="00EC7E61">
      <w:pPr>
        <w:pStyle w:val="EndNoteBibliography"/>
        <w:ind w:left="720" w:hanging="720"/>
        <w:jc w:val="left"/>
        <w:rPr>
          <w:noProof/>
        </w:rPr>
      </w:pPr>
      <w:r w:rsidRPr="00B51040">
        <w:rPr>
          <w:noProof/>
        </w:rPr>
        <w:lastRenderedPageBreak/>
        <w:t xml:space="preserve">Gavetti, G. (2012). 'PERSPECTIVE—Toward a Behavioral Theory of Strategy', </w:t>
      </w:r>
      <w:r w:rsidRPr="00B51040">
        <w:rPr>
          <w:i/>
          <w:noProof/>
        </w:rPr>
        <w:t>Organization Science,</w:t>
      </w:r>
      <w:r w:rsidRPr="00B51040">
        <w:rPr>
          <w:noProof/>
        </w:rPr>
        <w:t xml:space="preserve"> </w:t>
      </w:r>
      <w:r w:rsidRPr="00B51040">
        <w:rPr>
          <w:b/>
          <w:noProof/>
        </w:rPr>
        <w:t xml:space="preserve">23, </w:t>
      </w:r>
      <w:r w:rsidRPr="00B51040">
        <w:rPr>
          <w:noProof/>
        </w:rPr>
        <w:t>pp. 267-285.</w:t>
      </w:r>
    </w:p>
    <w:p w14:paraId="76530BDA" w14:textId="77777777" w:rsidR="00EC7E61" w:rsidRPr="00B51040" w:rsidRDefault="00EC7E61" w:rsidP="00EC7E61">
      <w:pPr>
        <w:pStyle w:val="EndNoteBibliography"/>
        <w:ind w:left="720" w:hanging="720"/>
        <w:jc w:val="left"/>
        <w:rPr>
          <w:noProof/>
        </w:rPr>
      </w:pPr>
      <w:r w:rsidRPr="00B51040">
        <w:rPr>
          <w:noProof/>
        </w:rPr>
        <w:t xml:space="preserve">Geyskens, I., R. Krishnan, J.-B. E. M. Steenkamp and P. V. Cunha (2008). 'A review and evaluation of meta-analysis practices in management research', </w:t>
      </w:r>
      <w:r w:rsidRPr="00B51040">
        <w:rPr>
          <w:i/>
          <w:noProof/>
        </w:rPr>
        <w:t>Journal of Management,</w:t>
      </w:r>
      <w:r w:rsidRPr="00B51040">
        <w:rPr>
          <w:noProof/>
        </w:rPr>
        <w:t xml:space="preserve"> </w:t>
      </w:r>
      <w:r w:rsidRPr="00B51040">
        <w:rPr>
          <w:b/>
          <w:noProof/>
        </w:rPr>
        <w:t xml:space="preserve">35, </w:t>
      </w:r>
      <w:r w:rsidRPr="00B51040">
        <w:rPr>
          <w:noProof/>
        </w:rPr>
        <w:t>pp. 393-419.</w:t>
      </w:r>
    </w:p>
    <w:p w14:paraId="6AFA9903" w14:textId="77777777" w:rsidR="00EC7E61" w:rsidRPr="00B51040" w:rsidRDefault="00EC7E61" w:rsidP="00EC7E61">
      <w:pPr>
        <w:pStyle w:val="EndNoteBibliography"/>
        <w:ind w:left="720" w:hanging="720"/>
        <w:jc w:val="left"/>
        <w:rPr>
          <w:noProof/>
        </w:rPr>
      </w:pPr>
      <w:r w:rsidRPr="00B51040">
        <w:rPr>
          <w:noProof/>
        </w:rPr>
        <w:t xml:space="preserve">Gonzalez-Mulé, E. and H. Aguinis (2018). 'Advancing theory by assessing boundary conditions with metaregression: A critical review and best-practice recommendations', </w:t>
      </w:r>
      <w:r w:rsidRPr="00B51040">
        <w:rPr>
          <w:i/>
          <w:noProof/>
        </w:rPr>
        <w:t>Journal of Management,</w:t>
      </w:r>
      <w:r w:rsidRPr="00B51040">
        <w:rPr>
          <w:noProof/>
        </w:rPr>
        <w:t xml:space="preserve"> </w:t>
      </w:r>
      <w:r w:rsidRPr="00B51040">
        <w:rPr>
          <w:b/>
          <w:noProof/>
        </w:rPr>
        <w:t xml:space="preserve">44, </w:t>
      </w:r>
      <w:r w:rsidRPr="00B51040">
        <w:rPr>
          <w:noProof/>
        </w:rPr>
        <w:t>pp. 2246-2273.</w:t>
      </w:r>
    </w:p>
    <w:p w14:paraId="2ACCFACF" w14:textId="77777777" w:rsidR="00EC7E61" w:rsidRPr="00B51040" w:rsidRDefault="00EC7E61" w:rsidP="00EC7E61">
      <w:pPr>
        <w:pStyle w:val="EndNoteBibliography"/>
        <w:ind w:left="720" w:hanging="720"/>
        <w:jc w:val="left"/>
        <w:rPr>
          <w:noProof/>
        </w:rPr>
      </w:pPr>
      <w:r w:rsidRPr="00B51040">
        <w:rPr>
          <w:noProof/>
        </w:rPr>
        <w:t xml:space="preserve">Goyal, L. and V. Goyal (2021). 'Performance shortfall, feedback interpretation and R&amp;D search: The differential effects of peers’ performance below historical and social aspirations', </w:t>
      </w:r>
      <w:r w:rsidRPr="00B51040">
        <w:rPr>
          <w:i/>
          <w:noProof/>
        </w:rPr>
        <w:t>British Journal of Management</w:t>
      </w:r>
      <w:r w:rsidRPr="00B51040">
        <w:rPr>
          <w:noProof/>
        </w:rPr>
        <w:t>.</w:t>
      </w:r>
    </w:p>
    <w:p w14:paraId="14BE8E46" w14:textId="77777777" w:rsidR="00EC7E61" w:rsidRPr="00B51040" w:rsidRDefault="00EC7E61" w:rsidP="00EC7E61">
      <w:pPr>
        <w:pStyle w:val="EndNoteBibliography"/>
        <w:ind w:left="720" w:hanging="720"/>
        <w:jc w:val="left"/>
        <w:rPr>
          <w:noProof/>
        </w:rPr>
      </w:pPr>
      <w:r w:rsidRPr="00B51040">
        <w:rPr>
          <w:noProof/>
        </w:rPr>
        <w:t xml:space="preserve">Green, J. D., C. Sedikides, B. Pinter and D. R. Van Tongeren (2009). 'Two Sides to Self-protection: Self-improvement Strivings and Feedback from Close Relationships Eliminate Mnemic Neglect', </w:t>
      </w:r>
      <w:r w:rsidRPr="00B51040">
        <w:rPr>
          <w:i/>
          <w:noProof/>
        </w:rPr>
        <w:t>Self and Identity,</w:t>
      </w:r>
      <w:r w:rsidRPr="00B51040">
        <w:rPr>
          <w:noProof/>
        </w:rPr>
        <w:t xml:space="preserve"> </w:t>
      </w:r>
      <w:r w:rsidRPr="00B51040">
        <w:rPr>
          <w:b/>
          <w:noProof/>
        </w:rPr>
        <w:t xml:space="preserve">8, </w:t>
      </w:r>
      <w:r w:rsidRPr="00B51040">
        <w:rPr>
          <w:noProof/>
        </w:rPr>
        <w:t>pp. 233-250.</w:t>
      </w:r>
    </w:p>
    <w:p w14:paraId="6D64DA4F" w14:textId="77777777" w:rsidR="00EC7E61" w:rsidRPr="00B51040" w:rsidRDefault="00EC7E61" w:rsidP="00EC7E61">
      <w:pPr>
        <w:pStyle w:val="EndNoteBibliography"/>
        <w:ind w:left="720" w:hanging="720"/>
        <w:jc w:val="left"/>
        <w:rPr>
          <w:noProof/>
        </w:rPr>
      </w:pPr>
      <w:r w:rsidRPr="00B51040">
        <w:rPr>
          <w:noProof/>
        </w:rPr>
        <w:t xml:space="preserve">Greve, H. R. (1998). 'Performance, aspirations, and risky organizational change', </w:t>
      </w:r>
      <w:r w:rsidRPr="00B51040">
        <w:rPr>
          <w:i/>
          <w:noProof/>
        </w:rPr>
        <w:t>Administrative Science Quarterly,</w:t>
      </w:r>
      <w:r w:rsidRPr="00B51040">
        <w:rPr>
          <w:noProof/>
        </w:rPr>
        <w:t xml:space="preserve"> </w:t>
      </w:r>
      <w:r w:rsidRPr="00B51040">
        <w:rPr>
          <w:b/>
          <w:noProof/>
        </w:rPr>
        <w:t xml:space="preserve">43, </w:t>
      </w:r>
      <w:r w:rsidRPr="00B51040">
        <w:rPr>
          <w:noProof/>
        </w:rPr>
        <w:t>pp. 58-86.</w:t>
      </w:r>
    </w:p>
    <w:p w14:paraId="51180275" w14:textId="77777777" w:rsidR="00EC7E61" w:rsidRPr="00B51040" w:rsidRDefault="00EC7E61" w:rsidP="00EC7E61">
      <w:pPr>
        <w:pStyle w:val="EndNoteBibliography"/>
        <w:ind w:left="720" w:hanging="720"/>
        <w:jc w:val="left"/>
        <w:rPr>
          <w:noProof/>
        </w:rPr>
      </w:pPr>
      <w:r w:rsidRPr="00B51040">
        <w:rPr>
          <w:noProof/>
        </w:rPr>
        <w:t xml:space="preserve">Greve, H. R. (2003a). 'A behavioral theory of R&amp;D expenditures and innovations: Evidence from shipbuilding', </w:t>
      </w:r>
      <w:r w:rsidRPr="00B51040">
        <w:rPr>
          <w:i/>
          <w:noProof/>
        </w:rPr>
        <w:t>Academy of Management Journal,</w:t>
      </w:r>
      <w:r w:rsidRPr="00B51040">
        <w:rPr>
          <w:noProof/>
        </w:rPr>
        <w:t xml:space="preserve"> </w:t>
      </w:r>
      <w:r w:rsidRPr="00B51040">
        <w:rPr>
          <w:b/>
          <w:noProof/>
        </w:rPr>
        <w:t xml:space="preserve">46, </w:t>
      </w:r>
      <w:r w:rsidRPr="00B51040">
        <w:rPr>
          <w:noProof/>
        </w:rPr>
        <w:t>pp. 685-702.</w:t>
      </w:r>
    </w:p>
    <w:p w14:paraId="212322CA" w14:textId="77777777" w:rsidR="00EC7E61" w:rsidRPr="00B51040" w:rsidRDefault="00EC7E61" w:rsidP="00EC7E61">
      <w:pPr>
        <w:pStyle w:val="EndNoteBibliography"/>
        <w:ind w:left="720" w:hanging="720"/>
        <w:jc w:val="left"/>
        <w:rPr>
          <w:noProof/>
        </w:rPr>
      </w:pPr>
      <w:r w:rsidRPr="00B51040">
        <w:rPr>
          <w:noProof/>
        </w:rPr>
        <w:t xml:space="preserve">Greve, H. R. (2003b). </w:t>
      </w:r>
      <w:r w:rsidRPr="00B51040">
        <w:rPr>
          <w:i/>
          <w:noProof/>
        </w:rPr>
        <w:t xml:space="preserve">Organizational Learning from Performance Feedback: A Behavioral Perspective on Innovation and Change, </w:t>
      </w:r>
      <w:r w:rsidRPr="00B51040">
        <w:rPr>
          <w:noProof/>
        </w:rPr>
        <w:t>Cambridge University Press, Cambridge, UK.</w:t>
      </w:r>
    </w:p>
    <w:p w14:paraId="5BFA6284" w14:textId="77777777" w:rsidR="00EC7E61" w:rsidRPr="00B51040" w:rsidRDefault="00EC7E61" w:rsidP="00EC7E61">
      <w:pPr>
        <w:pStyle w:val="EndNoteBibliography"/>
        <w:ind w:left="720" w:hanging="720"/>
        <w:jc w:val="left"/>
        <w:rPr>
          <w:noProof/>
        </w:rPr>
      </w:pPr>
      <w:r w:rsidRPr="00B51040">
        <w:rPr>
          <w:noProof/>
        </w:rPr>
        <w:t xml:space="preserve">Greve, H. R. (2007). 'Exploration and exploitation in product innovation', </w:t>
      </w:r>
      <w:r w:rsidRPr="00B51040">
        <w:rPr>
          <w:i/>
          <w:noProof/>
        </w:rPr>
        <w:t>Industrial and Corporate Change,</w:t>
      </w:r>
      <w:r w:rsidRPr="00B51040">
        <w:rPr>
          <w:noProof/>
        </w:rPr>
        <w:t xml:space="preserve"> </w:t>
      </w:r>
      <w:r w:rsidRPr="00B51040">
        <w:rPr>
          <w:b/>
          <w:noProof/>
        </w:rPr>
        <w:t xml:space="preserve">16, </w:t>
      </w:r>
      <w:r w:rsidRPr="00B51040">
        <w:rPr>
          <w:noProof/>
        </w:rPr>
        <w:t>pp. 945-975.</w:t>
      </w:r>
    </w:p>
    <w:p w14:paraId="2FA25891" w14:textId="77777777" w:rsidR="00EC7E61" w:rsidRPr="00B51040" w:rsidRDefault="00EC7E61" w:rsidP="00EC7E61">
      <w:pPr>
        <w:pStyle w:val="EndNoteBibliography"/>
        <w:ind w:left="720" w:hanging="720"/>
        <w:jc w:val="left"/>
        <w:rPr>
          <w:noProof/>
        </w:rPr>
      </w:pPr>
      <w:r w:rsidRPr="00B51040">
        <w:rPr>
          <w:noProof/>
        </w:rPr>
        <w:t xml:space="preserve">Greve, H. R. (2008). 'A behavioral theory of firm growth: Sequential attention to size and performance goals', </w:t>
      </w:r>
      <w:r w:rsidRPr="00B51040">
        <w:rPr>
          <w:i/>
          <w:noProof/>
        </w:rPr>
        <w:t>Academy of Management Journal,</w:t>
      </w:r>
      <w:r w:rsidRPr="00B51040">
        <w:rPr>
          <w:noProof/>
        </w:rPr>
        <w:t xml:space="preserve"> </w:t>
      </w:r>
      <w:r w:rsidRPr="00B51040">
        <w:rPr>
          <w:b/>
          <w:noProof/>
        </w:rPr>
        <w:t xml:space="preserve">51, </w:t>
      </w:r>
      <w:r w:rsidRPr="00B51040">
        <w:rPr>
          <w:noProof/>
        </w:rPr>
        <w:t>pp. 476-494.</w:t>
      </w:r>
    </w:p>
    <w:p w14:paraId="022C7AC3" w14:textId="77777777" w:rsidR="00EC7E61" w:rsidRPr="00B51040" w:rsidRDefault="00EC7E61" w:rsidP="00EC7E61">
      <w:pPr>
        <w:pStyle w:val="EndNoteBibliography"/>
        <w:ind w:left="720" w:hanging="720"/>
        <w:jc w:val="left"/>
        <w:rPr>
          <w:noProof/>
        </w:rPr>
      </w:pPr>
      <w:r w:rsidRPr="00B51040">
        <w:rPr>
          <w:noProof/>
        </w:rPr>
        <w:t xml:space="preserve">Greve, H. R. (2010). 'Positional rigidity: low performance and resource acquisition in large and small firms', </w:t>
      </w:r>
      <w:r w:rsidRPr="00B51040">
        <w:rPr>
          <w:i/>
          <w:noProof/>
        </w:rPr>
        <w:t>Strategic Management Journal,</w:t>
      </w:r>
      <w:r w:rsidRPr="00B51040">
        <w:rPr>
          <w:noProof/>
        </w:rPr>
        <w:t xml:space="preserve"> </w:t>
      </w:r>
      <w:r w:rsidRPr="00B51040">
        <w:rPr>
          <w:b/>
          <w:noProof/>
        </w:rPr>
        <w:t xml:space="preserve">32, </w:t>
      </w:r>
      <w:r w:rsidRPr="00B51040">
        <w:rPr>
          <w:noProof/>
        </w:rPr>
        <w:t>pp. 103-114.</w:t>
      </w:r>
    </w:p>
    <w:p w14:paraId="7F6E3446" w14:textId="77777777" w:rsidR="00EC7E61" w:rsidRPr="00B51040" w:rsidRDefault="00EC7E61" w:rsidP="00EC7E61">
      <w:pPr>
        <w:pStyle w:val="EndNoteBibliography"/>
        <w:ind w:left="720" w:hanging="720"/>
        <w:jc w:val="left"/>
        <w:rPr>
          <w:noProof/>
        </w:rPr>
      </w:pPr>
      <w:r w:rsidRPr="00B51040">
        <w:rPr>
          <w:noProof/>
        </w:rPr>
        <w:t xml:space="preserve">Gubbi, S. R., P. S. Aulakh and S. Ray (2015). 'International search behavior of business group affiliated firms: Scope of institutional changes and intragroup heterogeneity', </w:t>
      </w:r>
      <w:r w:rsidRPr="00B51040">
        <w:rPr>
          <w:i/>
          <w:noProof/>
        </w:rPr>
        <w:t>Organization Science,</w:t>
      </w:r>
      <w:r w:rsidRPr="00B51040">
        <w:rPr>
          <w:noProof/>
        </w:rPr>
        <w:t xml:space="preserve"> </w:t>
      </w:r>
      <w:r w:rsidRPr="00B51040">
        <w:rPr>
          <w:b/>
          <w:noProof/>
        </w:rPr>
        <w:t xml:space="preserve">26, </w:t>
      </w:r>
      <w:r w:rsidRPr="00B51040">
        <w:rPr>
          <w:noProof/>
        </w:rPr>
        <w:t>pp. 1485-1501.</w:t>
      </w:r>
    </w:p>
    <w:p w14:paraId="41D84C6E" w14:textId="77777777" w:rsidR="00EC7E61" w:rsidRPr="00B51040" w:rsidRDefault="00EC7E61" w:rsidP="00EC7E61">
      <w:pPr>
        <w:pStyle w:val="EndNoteBibliography"/>
        <w:ind w:left="720" w:hanging="720"/>
        <w:jc w:val="left"/>
        <w:rPr>
          <w:noProof/>
        </w:rPr>
      </w:pPr>
      <w:r w:rsidRPr="00B51040">
        <w:rPr>
          <w:noProof/>
        </w:rPr>
        <w:t xml:space="preserve">Guo, B. and P. Ding (2017). 'Invention or incremental improvement? Simulation modeling and empirical testing of firm patenting behavior under performance aspiration', </w:t>
      </w:r>
      <w:r w:rsidRPr="00B51040">
        <w:rPr>
          <w:i/>
          <w:noProof/>
        </w:rPr>
        <w:t>Decision Support Systems,</w:t>
      </w:r>
      <w:r w:rsidRPr="00B51040">
        <w:rPr>
          <w:noProof/>
        </w:rPr>
        <w:t xml:space="preserve"> </w:t>
      </w:r>
      <w:r w:rsidRPr="00B51040">
        <w:rPr>
          <w:b/>
          <w:noProof/>
        </w:rPr>
        <w:t xml:space="preserve">102, </w:t>
      </w:r>
      <w:r w:rsidRPr="00B51040">
        <w:rPr>
          <w:noProof/>
        </w:rPr>
        <w:t>pp. 32-41.</w:t>
      </w:r>
    </w:p>
    <w:p w14:paraId="21F8F134" w14:textId="77777777" w:rsidR="00EC7E61" w:rsidRPr="00B51040" w:rsidRDefault="00EC7E61" w:rsidP="00EC7E61">
      <w:pPr>
        <w:pStyle w:val="EndNoteBibliography"/>
        <w:ind w:left="720" w:hanging="720"/>
        <w:jc w:val="left"/>
        <w:rPr>
          <w:noProof/>
        </w:rPr>
      </w:pPr>
      <w:r w:rsidRPr="00B51040">
        <w:rPr>
          <w:noProof/>
        </w:rPr>
        <w:t xml:space="preserve">Hamel, G. and C. K. Prahalad (1993). 'Strategy as stretch and leverage', </w:t>
      </w:r>
      <w:r w:rsidRPr="00B51040">
        <w:rPr>
          <w:i/>
          <w:noProof/>
        </w:rPr>
        <w:t>Harvard Business Review,</w:t>
      </w:r>
      <w:r w:rsidRPr="00B51040">
        <w:rPr>
          <w:noProof/>
        </w:rPr>
        <w:t xml:space="preserve"> </w:t>
      </w:r>
      <w:r w:rsidRPr="00B51040">
        <w:rPr>
          <w:b/>
          <w:noProof/>
        </w:rPr>
        <w:t xml:space="preserve">71, </w:t>
      </w:r>
      <w:r w:rsidRPr="00B51040">
        <w:rPr>
          <w:noProof/>
        </w:rPr>
        <w:t>pp. 75-84.</w:t>
      </w:r>
    </w:p>
    <w:p w14:paraId="664A182D" w14:textId="77777777" w:rsidR="00EC7E61" w:rsidRPr="00B51040" w:rsidRDefault="00EC7E61" w:rsidP="00EC7E61">
      <w:pPr>
        <w:pStyle w:val="EndNoteBibliography"/>
        <w:ind w:left="720" w:hanging="720"/>
        <w:jc w:val="left"/>
        <w:rPr>
          <w:noProof/>
        </w:rPr>
      </w:pPr>
      <w:r w:rsidRPr="00B51040">
        <w:rPr>
          <w:noProof/>
        </w:rPr>
        <w:t xml:space="preserve">Harris, J. and P. Bromiley (2007). 'Incentives to cheat: The influence of executive compensation and firm performance on financial misrepresentation', </w:t>
      </w:r>
      <w:r w:rsidRPr="00B51040">
        <w:rPr>
          <w:i/>
          <w:noProof/>
        </w:rPr>
        <w:t>Organization Science,</w:t>
      </w:r>
      <w:r w:rsidRPr="00B51040">
        <w:rPr>
          <w:noProof/>
        </w:rPr>
        <w:t xml:space="preserve"> </w:t>
      </w:r>
      <w:r w:rsidRPr="00B51040">
        <w:rPr>
          <w:b/>
          <w:noProof/>
        </w:rPr>
        <w:t xml:space="preserve">18, </w:t>
      </w:r>
      <w:r w:rsidRPr="00B51040">
        <w:rPr>
          <w:noProof/>
        </w:rPr>
        <w:t>pp. 350-367.</w:t>
      </w:r>
    </w:p>
    <w:p w14:paraId="438E70B5" w14:textId="77777777" w:rsidR="00EC7E61" w:rsidRPr="00B51040" w:rsidRDefault="00EC7E61" w:rsidP="00EC7E61">
      <w:pPr>
        <w:pStyle w:val="EndNoteBibliography"/>
        <w:ind w:left="720" w:hanging="720"/>
        <w:jc w:val="left"/>
        <w:rPr>
          <w:noProof/>
        </w:rPr>
      </w:pPr>
      <w:r w:rsidRPr="00B51040">
        <w:rPr>
          <w:noProof/>
        </w:rPr>
        <w:t xml:space="preserve">Haunschild, P. R. and A. S. Miner (1997). 'Modes of interorganizational imitation: The effects of outcome salience and uncertainty', </w:t>
      </w:r>
      <w:r w:rsidRPr="00B51040">
        <w:rPr>
          <w:i/>
          <w:noProof/>
        </w:rPr>
        <w:t>Administrative Science Quarterly,</w:t>
      </w:r>
      <w:r w:rsidRPr="00B51040">
        <w:rPr>
          <w:noProof/>
        </w:rPr>
        <w:t xml:space="preserve"> </w:t>
      </w:r>
      <w:r w:rsidRPr="00B51040">
        <w:rPr>
          <w:b/>
          <w:noProof/>
        </w:rPr>
        <w:t xml:space="preserve">42, </w:t>
      </w:r>
      <w:r w:rsidRPr="00B51040">
        <w:rPr>
          <w:noProof/>
        </w:rPr>
        <w:t>pp. 472-500.</w:t>
      </w:r>
    </w:p>
    <w:p w14:paraId="4A869AFB" w14:textId="77777777" w:rsidR="00EC7E61" w:rsidRPr="00B51040" w:rsidRDefault="00EC7E61" w:rsidP="00EC7E61">
      <w:pPr>
        <w:pStyle w:val="EndNoteBibliography"/>
        <w:ind w:left="720" w:hanging="720"/>
        <w:jc w:val="left"/>
        <w:rPr>
          <w:noProof/>
        </w:rPr>
      </w:pPr>
      <w:r w:rsidRPr="00612C49">
        <w:rPr>
          <w:noProof/>
          <w:lang w:val="de-DE"/>
        </w:rPr>
        <w:t xml:space="preserve">Heine, S. J. and D. R. Lehman (1997). </w:t>
      </w:r>
      <w:r w:rsidRPr="00B51040">
        <w:rPr>
          <w:noProof/>
        </w:rPr>
        <w:t xml:space="preserve">'The cultural construction of self-enhancement: an examination of group-serving biases', </w:t>
      </w:r>
      <w:r w:rsidRPr="00B51040">
        <w:rPr>
          <w:i/>
          <w:noProof/>
        </w:rPr>
        <w:t>Journal of Personality and Social Psychology,</w:t>
      </w:r>
      <w:r w:rsidRPr="00B51040">
        <w:rPr>
          <w:noProof/>
        </w:rPr>
        <w:t xml:space="preserve"> </w:t>
      </w:r>
      <w:r w:rsidRPr="00B51040">
        <w:rPr>
          <w:b/>
          <w:noProof/>
        </w:rPr>
        <w:t xml:space="preserve">72, </w:t>
      </w:r>
      <w:r w:rsidRPr="00B51040">
        <w:rPr>
          <w:noProof/>
        </w:rPr>
        <w:t>pp. 1268-1283.</w:t>
      </w:r>
    </w:p>
    <w:p w14:paraId="28F4771C" w14:textId="77777777" w:rsidR="00EC7E61" w:rsidRPr="00B51040" w:rsidRDefault="00EC7E61" w:rsidP="00EC7E61">
      <w:pPr>
        <w:pStyle w:val="EndNoteBibliography"/>
        <w:ind w:left="720" w:hanging="720"/>
        <w:jc w:val="left"/>
        <w:rPr>
          <w:noProof/>
        </w:rPr>
      </w:pPr>
      <w:r w:rsidRPr="00B51040">
        <w:rPr>
          <w:noProof/>
        </w:rPr>
        <w:t xml:space="preserve">Hendron, M. G., M. K. Bednar and A. D. Henderson (2013). 'How performance relative to aspiration levels affects strategic responses to technological discontinuity', </w:t>
      </w:r>
      <w:r w:rsidRPr="00B51040">
        <w:rPr>
          <w:i/>
          <w:noProof/>
        </w:rPr>
        <w:t>Working Paper</w:t>
      </w:r>
      <w:r w:rsidRPr="00B51040">
        <w:rPr>
          <w:noProof/>
        </w:rPr>
        <w:t>.</w:t>
      </w:r>
    </w:p>
    <w:p w14:paraId="458A448A" w14:textId="77777777" w:rsidR="00EC7E61" w:rsidRPr="00B51040" w:rsidRDefault="00EC7E61" w:rsidP="00EC7E61">
      <w:pPr>
        <w:pStyle w:val="EndNoteBibliography"/>
        <w:ind w:left="720" w:hanging="720"/>
        <w:jc w:val="left"/>
        <w:rPr>
          <w:noProof/>
        </w:rPr>
      </w:pPr>
      <w:r w:rsidRPr="00612C49">
        <w:rPr>
          <w:noProof/>
          <w:lang w:val="de-DE"/>
        </w:rPr>
        <w:t xml:space="preserve">Herhausen, D., R. E. Morgan, D. Brozović and H. W. Volberda (2020). </w:t>
      </w:r>
      <w:r w:rsidRPr="00B51040">
        <w:rPr>
          <w:noProof/>
        </w:rPr>
        <w:t xml:space="preserve">'Re‐examining strategic flexibility: A meta‐analysis of its antecedents, consequences and contingencies', </w:t>
      </w:r>
      <w:r w:rsidRPr="00B51040">
        <w:rPr>
          <w:i/>
          <w:noProof/>
        </w:rPr>
        <w:t>British Journal of Management,</w:t>
      </w:r>
      <w:r w:rsidRPr="00B51040">
        <w:rPr>
          <w:noProof/>
        </w:rPr>
        <w:t xml:space="preserve"> </w:t>
      </w:r>
      <w:r w:rsidRPr="00B51040">
        <w:rPr>
          <w:b/>
          <w:noProof/>
        </w:rPr>
        <w:t xml:space="preserve">32, </w:t>
      </w:r>
      <w:r w:rsidRPr="00B51040">
        <w:rPr>
          <w:noProof/>
        </w:rPr>
        <w:t>pp. 435-455.</w:t>
      </w:r>
    </w:p>
    <w:p w14:paraId="64743407" w14:textId="77777777" w:rsidR="00EC7E61" w:rsidRPr="00B51040" w:rsidRDefault="00EC7E61" w:rsidP="00EC7E61">
      <w:pPr>
        <w:pStyle w:val="EndNoteBibliography"/>
        <w:ind w:left="720" w:hanging="720"/>
        <w:jc w:val="left"/>
        <w:rPr>
          <w:noProof/>
        </w:rPr>
      </w:pPr>
      <w:r w:rsidRPr="00B51040">
        <w:rPr>
          <w:noProof/>
        </w:rPr>
        <w:t xml:space="preserve">Higgins, J. P. and S. G. Thompson (2002). 'Quantifying heterogeneity in a meta-analysis', </w:t>
      </w:r>
      <w:r w:rsidRPr="00B51040">
        <w:rPr>
          <w:i/>
          <w:noProof/>
        </w:rPr>
        <w:t>Stat Med,</w:t>
      </w:r>
      <w:r w:rsidRPr="00B51040">
        <w:rPr>
          <w:noProof/>
        </w:rPr>
        <w:t xml:space="preserve"> </w:t>
      </w:r>
      <w:r w:rsidRPr="00B51040">
        <w:rPr>
          <w:b/>
          <w:noProof/>
        </w:rPr>
        <w:t xml:space="preserve">21, </w:t>
      </w:r>
      <w:r w:rsidRPr="00B51040">
        <w:rPr>
          <w:noProof/>
        </w:rPr>
        <w:t>pp. 1539-58.</w:t>
      </w:r>
    </w:p>
    <w:p w14:paraId="58FCDED6" w14:textId="77777777" w:rsidR="00EC7E61" w:rsidRPr="00B51040" w:rsidRDefault="00EC7E61" w:rsidP="00EC7E61">
      <w:pPr>
        <w:pStyle w:val="EndNoteBibliography"/>
        <w:ind w:left="720" w:hanging="720"/>
        <w:jc w:val="left"/>
        <w:rPr>
          <w:noProof/>
        </w:rPr>
      </w:pPr>
      <w:r w:rsidRPr="00B51040">
        <w:rPr>
          <w:noProof/>
        </w:rPr>
        <w:t xml:space="preserve">Hoang, H. and H. Ener (2015). 'Unpacking experience effects in developing novel products for new markets', </w:t>
      </w:r>
      <w:r w:rsidRPr="00B51040">
        <w:rPr>
          <w:i/>
          <w:noProof/>
        </w:rPr>
        <w:t>Strategic Organization,</w:t>
      </w:r>
      <w:r w:rsidRPr="00B51040">
        <w:rPr>
          <w:noProof/>
        </w:rPr>
        <w:t xml:space="preserve"> </w:t>
      </w:r>
      <w:r w:rsidRPr="00B51040">
        <w:rPr>
          <w:b/>
          <w:noProof/>
        </w:rPr>
        <w:t xml:space="preserve">13, </w:t>
      </w:r>
      <w:r w:rsidRPr="00B51040">
        <w:rPr>
          <w:noProof/>
        </w:rPr>
        <w:t>pp. 261-283.</w:t>
      </w:r>
    </w:p>
    <w:p w14:paraId="77FD9FF7" w14:textId="77777777" w:rsidR="00EC7E61" w:rsidRPr="00B51040" w:rsidRDefault="00EC7E61" w:rsidP="00EC7E61">
      <w:pPr>
        <w:pStyle w:val="EndNoteBibliography"/>
        <w:ind w:left="720" w:hanging="720"/>
        <w:jc w:val="left"/>
        <w:rPr>
          <w:noProof/>
        </w:rPr>
      </w:pPr>
      <w:r w:rsidRPr="00B51040">
        <w:rPr>
          <w:noProof/>
        </w:rPr>
        <w:t xml:space="preserve">Hodgkinson, G. P. (1997). 'The cognitive analysis of competitive structures: A review and critique', </w:t>
      </w:r>
      <w:r w:rsidRPr="00B51040">
        <w:rPr>
          <w:i/>
          <w:noProof/>
        </w:rPr>
        <w:t>Human Relations,</w:t>
      </w:r>
      <w:r w:rsidRPr="00B51040">
        <w:rPr>
          <w:noProof/>
        </w:rPr>
        <w:t xml:space="preserve"> </w:t>
      </w:r>
      <w:r w:rsidRPr="00B51040">
        <w:rPr>
          <w:b/>
          <w:noProof/>
        </w:rPr>
        <w:t xml:space="preserve">50, </w:t>
      </w:r>
      <w:r w:rsidRPr="00B51040">
        <w:rPr>
          <w:noProof/>
        </w:rPr>
        <w:t>pp. 625-654.</w:t>
      </w:r>
    </w:p>
    <w:p w14:paraId="57EEB9F8" w14:textId="77777777" w:rsidR="00EC7E61" w:rsidRPr="00B51040" w:rsidRDefault="00EC7E61" w:rsidP="00EC7E61">
      <w:pPr>
        <w:pStyle w:val="EndNoteBibliography"/>
        <w:ind w:left="720" w:hanging="720"/>
        <w:jc w:val="left"/>
        <w:rPr>
          <w:noProof/>
        </w:rPr>
      </w:pPr>
      <w:r w:rsidRPr="00B51040">
        <w:rPr>
          <w:noProof/>
        </w:rPr>
        <w:lastRenderedPageBreak/>
        <w:t xml:space="preserve">Hoskisson, R. E., F. Chirico, J. Zyung and E. Gambeta (2017). 'Managerial risk taking:  A multitheoretical review and future research agenda', </w:t>
      </w:r>
      <w:r w:rsidRPr="00B51040">
        <w:rPr>
          <w:i/>
          <w:noProof/>
        </w:rPr>
        <w:t>Journal of Management,</w:t>
      </w:r>
      <w:r w:rsidRPr="00B51040">
        <w:rPr>
          <w:noProof/>
        </w:rPr>
        <w:t xml:space="preserve"> </w:t>
      </w:r>
      <w:r w:rsidRPr="00B51040">
        <w:rPr>
          <w:b/>
          <w:noProof/>
        </w:rPr>
        <w:t xml:space="preserve">43, </w:t>
      </w:r>
      <w:r w:rsidRPr="00B51040">
        <w:rPr>
          <w:noProof/>
        </w:rPr>
        <w:t>pp. 137-169.</w:t>
      </w:r>
    </w:p>
    <w:p w14:paraId="7C614704" w14:textId="77777777" w:rsidR="00EC7E61" w:rsidRPr="00B51040" w:rsidRDefault="00EC7E61" w:rsidP="00EC7E61">
      <w:pPr>
        <w:pStyle w:val="EndNoteBibliography"/>
        <w:ind w:left="720" w:hanging="720"/>
        <w:jc w:val="left"/>
        <w:rPr>
          <w:noProof/>
        </w:rPr>
      </w:pPr>
      <w:r w:rsidRPr="00B51040">
        <w:rPr>
          <w:noProof/>
        </w:rPr>
        <w:t xml:space="preserve">Hu, S., D. Blettner and R. A. Bettis (2011). 'Adaptive aspirations: Performance consequences of risk preferences at extremes and alternative reference groups', </w:t>
      </w:r>
      <w:r w:rsidRPr="00B51040">
        <w:rPr>
          <w:i/>
          <w:noProof/>
        </w:rPr>
        <w:t>Strategic Management Journal,</w:t>
      </w:r>
      <w:r w:rsidRPr="00B51040">
        <w:rPr>
          <w:noProof/>
        </w:rPr>
        <w:t xml:space="preserve"> </w:t>
      </w:r>
      <w:r w:rsidRPr="00B51040">
        <w:rPr>
          <w:b/>
          <w:noProof/>
        </w:rPr>
        <w:t xml:space="preserve">32, </w:t>
      </w:r>
      <w:r w:rsidRPr="00B51040">
        <w:rPr>
          <w:noProof/>
        </w:rPr>
        <w:t>pp. 1426-1436.</w:t>
      </w:r>
    </w:p>
    <w:p w14:paraId="3AEE622F" w14:textId="77777777" w:rsidR="00EC7E61" w:rsidRPr="00B51040" w:rsidRDefault="00EC7E61" w:rsidP="00EC7E61">
      <w:pPr>
        <w:pStyle w:val="EndNoteBibliography"/>
        <w:ind w:left="720" w:hanging="720"/>
        <w:jc w:val="left"/>
        <w:rPr>
          <w:noProof/>
        </w:rPr>
      </w:pPr>
      <w:r w:rsidRPr="00B51040">
        <w:rPr>
          <w:noProof/>
        </w:rPr>
        <w:t xml:space="preserve">Hu, S., Z.-L. He, D. P. Blettner and R. A. Bettis (2017). 'Conflict inside and outside: Social comparisons and attention shifts in multidivisional firms', </w:t>
      </w:r>
      <w:r w:rsidRPr="00B51040">
        <w:rPr>
          <w:i/>
          <w:noProof/>
        </w:rPr>
        <w:t>Strategic Management Journal,</w:t>
      </w:r>
      <w:r w:rsidRPr="00B51040">
        <w:rPr>
          <w:noProof/>
        </w:rPr>
        <w:t xml:space="preserve"> </w:t>
      </w:r>
      <w:r w:rsidRPr="00B51040">
        <w:rPr>
          <w:b/>
          <w:noProof/>
        </w:rPr>
        <w:t xml:space="preserve">38, </w:t>
      </w:r>
      <w:r w:rsidRPr="00B51040">
        <w:rPr>
          <w:noProof/>
        </w:rPr>
        <w:t>pp. 1435-1454.</w:t>
      </w:r>
    </w:p>
    <w:p w14:paraId="6639771E" w14:textId="77777777" w:rsidR="00EC7E61" w:rsidRPr="00B51040" w:rsidRDefault="00EC7E61" w:rsidP="00EC7E61">
      <w:pPr>
        <w:pStyle w:val="EndNoteBibliography"/>
        <w:ind w:left="720" w:hanging="720"/>
        <w:jc w:val="left"/>
        <w:rPr>
          <w:noProof/>
        </w:rPr>
      </w:pPr>
      <w:r w:rsidRPr="00B51040">
        <w:rPr>
          <w:noProof/>
        </w:rPr>
        <w:t xml:space="preserve">Huang, L., L. He and G. Yang (2021a). 'Performance Shortfalls and R&amp;D Investment Change: Aspirations, Actions, and Expectations', </w:t>
      </w:r>
      <w:r w:rsidRPr="00B51040">
        <w:rPr>
          <w:i/>
          <w:noProof/>
        </w:rPr>
        <w:t>Sustainability,</w:t>
      </w:r>
      <w:r w:rsidRPr="00B51040">
        <w:rPr>
          <w:noProof/>
        </w:rPr>
        <w:t xml:space="preserve"> </w:t>
      </w:r>
      <w:r w:rsidRPr="00B51040">
        <w:rPr>
          <w:b/>
          <w:noProof/>
        </w:rPr>
        <w:t>13</w:t>
      </w:r>
      <w:r w:rsidRPr="00B51040">
        <w:rPr>
          <w:noProof/>
        </w:rPr>
        <w:t>.</w:t>
      </w:r>
    </w:p>
    <w:p w14:paraId="459BB621" w14:textId="77777777" w:rsidR="00EC7E61" w:rsidRPr="00B51040" w:rsidRDefault="00EC7E61" w:rsidP="00EC7E61">
      <w:pPr>
        <w:pStyle w:val="EndNoteBibliography"/>
        <w:ind w:left="720" w:hanging="720"/>
        <w:jc w:val="left"/>
        <w:rPr>
          <w:noProof/>
        </w:rPr>
      </w:pPr>
      <w:r w:rsidRPr="00B51040">
        <w:rPr>
          <w:noProof/>
        </w:rPr>
        <w:t xml:space="preserve">Huang, Y.-C., Y.-C. Chin and C.-Y. Lee (2021b). 'Which executive characteristics influence risk-taking behaviours: evidence from Taiwanese companies', </w:t>
      </w:r>
      <w:r w:rsidRPr="00B51040">
        <w:rPr>
          <w:i/>
          <w:noProof/>
        </w:rPr>
        <w:t>Asia Pacific Business Review</w:t>
      </w:r>
      <w:r w:rsidRPr="00B51040">
        <w:rPr>
          <w:b/>
          <w:noProof/>
        </w:rPr>
        <w:t xml:space="preserve">, </w:t>
      </w:r>
      <w:r w:rsidRPr="00B51040">
        <w:rPr>
          <w:noProof/>
        </w:rPr>
        <w:t>pp. 1-27.</w:t>
      </w:r>
    </w:p>
    <w:p w14:paraId="01A6EFFA" w14:textId="77777777" w:rsidR="00EC7E61" w:rsidRPr="00B51040" w:rsidRDefault="00EC7E61" w:rsidP="00EC7E61">
      <w:pPr>
        <w:pStyle w:val="EndNoteBibliography"/>
        <w:ind w:left="720" w:hanging="720"/>
        <w:jc w:val="left"/>
        <w:rPr>
          <w:noProof/>
        </w:rPr>
      </w:pPr>
      <w:r w:rsidRPr="00B51040">
        <w:rPr>
          <w:noProof/>
        </w:rPr>
        <w:t xml:space="preserve">Hui, K. N.-C., Y. Gong, Q. Cui and N. Jiang (2021). 'Foreign investment or divestment as a near-term solution to performance shortfalls? The moderating role of vicarious learning', </w:t>
      </w:r>
      <w:r w:rsidRPr="00B51040">
        <w:rPr>
          <w:i/>
          <w:noProof/>
        </w:rPr>
        <w:t>Asia Pacific Journal of Management</w:t>
      </w:r>
      <w:r w:rsidRPr="00B51040">
        <w:rPr>
          <w:noProof/>
        </w:rPr>
        <w:t>.</w:t>
      </w:r>
    </w:p>
    <w:p w14:paraId="7C50F114" w14:textId="77777777" w:rsidR="00EC7E61" w:rsidRPr="00B51040" w:rsidRDefault="00EC7E61" w:rsidP="00EC7E61">
      <w:pPr>
        <w:pStyle w:val="EndNoteBibliography"/>
        <w:ind w:left="720" w:hanging="720"/>
        <w:jc w:val="left"/>
        <w:rPr>
          <w:noProof/>
        </w:rPr>
      </w:pPr>
      <w:r w:rsidRPr="00612C49">
        <w:rPr>
          <w:noProof/>
          <w:lang w:val="de-DE"/>
        </w:rPr>
        <w:t xml:space="preserve">Hunter, J. E. and F. L. Schmidt (1990). </w:t>
      </w:r>
      <w:r w:rsidRPr="00B51040">
        <w:rPr>
          <w:i/>
          <w:noProof/>
        </w:rPr>
        <w:t xml:space="preserve">Methods of Meta-Analysis, </w:t>
      </w:r>
      <w:r w:rsidRPr="00B51040">
        <w:rPr>
          <w:noProof/>
        </w:rPr>
        <w:t>Sage, Newbury Park, CA.</w:t>
      </w:r>
    </w:p>
    <w:p w14:paraId="483D935D" w14:textId="77777777" w:rsidR="00EC7E61" w:rsidRPr="00B51040" w:rsidRDefault="00EC7E61" w:rsidP="00EC7E61">
      <w:pPr>
        <w:pStyle w:val="EndNoteBibliography"/>
        <w:ind w:left="720" w:hanging="720"/>
        <w:jc w:val="left"/>
        <w:rPr>
          <w:noProof/>
        </w:rPr>
      </w:pPr>
      <w:r w:rsidRPr="00B51040">
        <w:rPr>
          <w:noProof/>
        </w:rPr>
        <w:t xml:space="preserve">Iyer, D. N. and K. D. Miller (2008). 'Performance feedback, slack, and the timing of acquisitions', </w:t>
      </w:r>
      <w:r w:rsidRPr="00B51040">
        <w:rPr>
          <w:i/>
          <w:noProof/>
        </w:rPr>
        <w:t>Academy of Management Journal,</w:t>
      </w:r>
      <w:r w:rsidRPr="00B51040">
        <w:rPr>
          <w:noProof/>
        </w:rPr>
        <w:t xml:space="preserve"> </w:t>
      </w:r>
      <w:r w:rsidRPr="00B51040">
        <w:rPr>
          <w:b/>
          <w:noProof/>
        </w:rPr>
        <w:t xml:space="preserve">51, </w:t>
      </w:r>
      <w:r w:rsidRPr="00B51040">
        <w:rPr>
          <w:noProof/>
        </w:rPr>
        <w:t>pp. 808-822.</w:t>
      </w:r>
    </w:p>
    <w:p w14:paraId="7D4B28FA" w14:textId="77777777" w:rsidR="00EC7E61" w:rsidRPr="00B51040" w:rsidRDefault="00EC7E61" w:rsidP="00EC7E61">
      <w:pPr>
        <w:pStyle w:val="EndNoteBibliography"/>
        <w:ind w:left="720" w:hanging="720"/>
        <w:jc w:val="left"/>
        <w:rPr>
          <w:noProof/>
        </w:rPr>
      </w:pPr>
      <w:r w:rsidRPr="00B51040">
        <w:rPr>
          <w:noProof/>
        </w:rPr>
        <w:t xml:space="preserve">Jordan, A. H. and P. G. Audia (2012). 'Self-enhancement and learning from performance feedback', </w:t>
      </w:r>
      <w:r w:rsidRPr="00B51040">
        <w:rPr>
          <w:i/>
          <w:noProof/>
        </w:rPr>
        <w:t>Academy of Management Review,</w:t>
      </w:r>
      <w:r w:rsidRPr="00B51040">
        <w:rPr>
          <w:noProof/>
        </w:rPr>
        <w:t xml:space="preserve"> </w:t>
      </w:r>
      <w:r w:rsidRPr="00B51040">
        <w:rPr>
          <w:b/>
          <w:noProof/>
        </w:rPr>
        <w:t xml:space="preserve">37, </w:t>
      </w:r>
      <w:r w:rsidRPr="00B51040">
        <w:rPr>
          <w:noProof/>
        </w:rPr>
        <w:t>pp. 211-231.</w:t>
      </w:r>
    </w:p>
    <w:p w14:paraId="477008FD" w14:textId="77777777" w:rsidR="00EC7E61" w:rsidRPr="00B51040" w:rsidRDefault="00EC7E61" w:rsidP="00EC7E61">
      <w:pPr>
        <w:pStyle w:val="EndNoteBibliography"/>
        <w:ind w:left="720" w:hanging="720"/>
        <w:jc w:val="left"/>
        <w:rPr>
          <w:noProof/>
        </w:rPr>
      </w:pPr>
      <w:r w:rsidRPr="00B51040">
        <w:rPr>
          <w:noProof/>
        </w:rPr>
        <w:t xml:space="preserve">Junni, P., R. M. Sarala, V. Taras and S. Y. Tarba (2013). 'Organizational ambidexterity and performance: A meta-analysis', </w:t>
      </w:r>
      <w:r w:rsidRPr="00B51040">
        <w:rPr>
          <w:i/>
          <w:noProof/>
        </w:rPr>
        <w:t>Academy of Management Perspectives,</w:t>
      </w:r>
      <w:r w:rsidRPr="00B51040">
        <w:rPr>
          <w:noProof/>
        </w:rPr>
        <w:t xml:space="preserve"> </w:t>
      </w:r>
      <w:r w:rsidRPr="00B51040">
        <w:rPr>
          <w:b/>
          <w:noProof/>
        </w:rPr>
        <w:t xml:space="preserve">27, </w:t>
      </w:r>
      <w:r w:rsidRPr="00B51040">
        <w:rPr>
          <w:noProof/>
        </w:rPr>
        <w:t>pp. 299-312.</w:t>
      </w:r>
    </w:p>
    <w:p w14:paraId="3015A9A7" w14:textId="77777777" w:rsidR="00EC7E61" w:rsidRPr="00B51040" w:rsidRDefault="00EC7E61" w:rsidP="00EC7E61">
      <w:pPr>
        <w:pStyle w:val="EndNoteBibliography"/>
        <w:ind w:left="720" w:hanging="720"/>
        <w:jc w:val="left"/>
        <w:rPr>
          <w:noProof/>
        </w:rPr>
      </w:pPr>
      <w:r w:rsidRPr="00B51040">
        <w:rPr>
          <w:noProof/>
        </w:rPr>
        <w:t xml:space="preserve">Jussim, L., H. Yen and J. R. Aiello (1995). 'Self-consistency, self-enhancement, and accuracy in reactions to feedback', </w:t>
      </w:r>
      <w:r w:rsidRPr="00B51040">
        <w:rPr>
          <w:i/>
          <w:noProof/>
        </w:rPr>
        <w:t>Journal of Experimental Social Psychology,</w:t>
      </w:r>
      <w:r w:rsidRPr="00B51040">
        <w:rPr>
          <w:noProof/>
        </w:rPr>
        <w:t xml:space="preserve"> </w:t>
      </w:r>
      <w:r w:rsidRPr="00B51040">
        <w:rPr>
          <w:b/>
          <w:noProof/>
        </w:rPr>
        <w:t xml:space="preserve">31, </w:t>
      </w:r>
      <w:r w:rsidRPr="00B51040">
        <w:rPr>
          <w:noProof/>
        </w:rPr>
        <w:t>pp. 322-356.</w:t>
      </w:r>
    </w:p>
    <w:p w14:paraId="4A1A3A0B" w14:textId="77777777" w:rsidR="00EC7E61" w:rsidRPr="00B51040" w:rsidRDefault="00EC7E61" w:rsidP="00EC7E61">
      <w:pPr>
        <w:pStyle w:val="EndNoteBibliography"/>
        <w:ind w:left="720" w:hanging="720"/>
        <w:jc w:val="left"/>
        <w:rPr>
          <w:noProof/>
        </w:rPr>
      </w:pPr>
      <w:r w:rsidRPr="00B51040">
        <w:rPr>
          <w:noProof/>
        </w:rPr>
        <w:t xml:space="preserve">Kacperczyk, A., C. M. Beckman and T. P. Moliterno (2015). 'Disentangling risk and change: Internal and external social comparison in the mutual fund industry', </w:t>
      </w:r>
      <w:r w:rsidRPr="00B51040">
        <w:rPr>
          <w:i/>
          <w:noProof/>
        </w:rPr>
        <w:t>Administrative Science Quarterly,</w:t>
      </w:r>
      <w:r w:rsidRPr="00B51040">
        <w:rPr>
          <w:noProof/>
        </w:rPr>
        <w:t xml:space="preserve"> </w:t>
      </w:r>
      <w:r w:rsidRPr="00B51040">
        <w:rPr>
          <w:b/>
          <w:noProof/>
        </w:rPr>
        <w:t xml:space="preserve">60, </w:t>
      </w:r>
      <w:r w:rsidRPr="00B51040">
        <w:rPr>
          <w:noProof/>
        </w:rPr>
        <w:t>pp. 228-262.</w:t>
      </w:r>
    </w:p>
    <w:p w14:paraId="6B3191AF" w14:textId="77777777" w:rsidR="00EC7E61" w:rsidRPr="00B51040" w:rsidRDefault="00EC7E61" w:rsidP="00EC7E61">
      <w:pPr>
        <w:pStyle w:val="EndNoteBibliography"/>
        <w:ind w:left="720" w:hanging="720"/>
        <w:jc w:val="left"/>
        <w:rPr>
          <w:noProof/>
        </w:rPr>
      </w:pPr>
      <w:r w:rsidRPr="00B51040">
        <w:rPr>
          <w:noProof/>
        </w:rPr>
        <w:t xml:space="preserve">Kavusan, K. and H. T. W. Frankort (2019). 'A behavioral theory of alliance portfolio reconfiguration: Evidence from pharmaceutical biotechnology', </w:t>
      </w:r>
      <w:r w:rsidRPr="00B51040">
        <w:rPr>
          <w:i/>
          <w:noProof/>
        </w:rPr>
        <w:t>Strategic Management Journal,</w:t>
      </w:r>
      <w:r w:rsidRPr="00B51040">
        <w:rPr>
          <w:noProof/>
        </w:rPr>
        <w:t xml:space="preserve"> </w:t>
      </w:r>
      <w:r w:rsidRPr="00B51040">
        <w:rPr>
          <w:b/>
          <w:noProof/>
        </w:rPr>
        <w:t xml:space="preserve">40, </w:t>
      </w:r>
      <w:r w:rsidRPr="00B51040">
        <w:rPr>
          <w:noProof/>
        </w:rPr>
        <w:t>pp. 1668-1702.</w:t>
      </w:r>
    </w:p>
    <w:p w14:paraId="67AED0AC" w14:textId="77777777" w:rsidR="00EC7E61" w:rsidRPr="00B51040" w:rsidRDefault="00EC7E61" w:rsidP="00EC7E61">
      <w:pPr>
        <w:pStyle w:val="EndNoteBibliography"/>
        <w:ind w:left="720" w:hanging="720"/>
        <w:jc w:val="left"/>
        <w:rPr>
          <w:noProof/>
        </w:rPr>
      </w:pPr>
      <w:r w:rsidRPr="00B51040">
        <w:rPr>
          <w:noProof/>
        </w:rPr>
        <w:t xml:space="preserve">Kc, D., B. R. Staats and F. Gino (2013). 'Learning from my success and from others' failure: Evidence from minimally invasive cardiac surgery', </w:t>
      </w:r>
      <w:r w:rsidRPr="00B51040">
        <w:rPr>
          <w:i/>
          <w:noProof/>
        </w:rPr>
        <w:t>Management Science,</w:t>
      </w:r>
      <w:r w:rsidRPr="00B51040">
        <w:rPr>
          <w:noProof/>
        </w:rPr>
        <w:t xml:space="preserve"> </w:t>
      </w:r>
      <w:r w:rsidRPr="00B51040">
        <w:rPr>
          <w:b/>
          <w:noProof/>
        </w:rPr>
        <w:t xml:space="preserve">59, </w:t>
      </w:r>
      <w:r w:rsidRPr="00B51040">
        <w:rPr>
          <w:noProof/>
        </w:rPr>
        <w:t>pp. 2435-2449.</w:t>
      </w:r>
    </w:p>
    <w:p w14:paraId="3888381E" w14:textId="77777777" w:rsidR="00EC7E61" w:rsidRPr="00B51040" w:rsidRDefault="00EC7E61" w:rsidP="00EC7E61">
      <w:pPr>
        <w:pStyle w:val="EndNoteBibliography"/>
        <w:ind w:left="720" w:hanging="720"/>
        <w:jc w:val="left"/>
        <w:rPr>
          <w:noProof/>
        </w:rPr>
      </w:pPr>
      <w:r w:rsidRPr="00B51040">
        <w:rPr>
          <w:noProof/>
        </w:rPr>
        <w:t xml:space="preserve">Ketchen Jr, D. J. and T. B. Palmer (1999). 'Strategic responses to poor organizational performance', </w:t>
      </w:r>
      <w:r w:rsidRPr="00B51040">
        <w:rPr>
          <w:i/>
          <w:noProof/>
        </w:rPr>
        <w:t>Journal of Management,</w:t>
      </w:r>
      <w:r w:rsidRPr="00B51040">
        <w:rPr>
          <w:noProof/>
        </w:rPr>
        <w:t xml:space="preserve"> </w:t>
      </w:r>
      <w:r w:rsidRPr="00B51040">
        <w:rPr>
          <w:b/>
          <w:noProof/>
        </w:rPr>
        <w:t xml:space="preserve">25, </w:t>
      </w:r>
      <w:r w:rsidRPr="00B51040">
        <w:rPr>
          <w:noProof/>
        </w:rPr>
        <w:t>pp. 683-706.</w:t>
      </w:r>
    </w:p>
    <w:p w14:paraId="5CDDA45F" w14:textId="77777777" w:rsidR="00EC7E61" w:rsidRPr="00B51040" w:rsidRDefault="00EC7E61" w:rsidP="00EC7E61">
      <w:pPr>
        <w:pStyle w:val="EndNoteBibliography"/>
        <w:ind w:left="720" w:hanging="720"/>
        <w:jc w:val="left"/>
        <w:rPr>
          <w:noProof/>
        </w:rPr>
      </w:pPr>
      <w:r w:rsidRPr="00B51040">
        <w:rPr>
          <w:noProof/>
        </w:rPr>
        <w:t xml:space="preserve">Kim, E. and M. Rhee (2017a). 'How airlines learn from airline accidents: An empirical study of how attributed errors and performance feedback affect learning from failure', </w:t>
      </w:r>
      <w:r w:rsidRPr="00B51040">
        <w:rPr>
          <w:i/>
          <w:noProof/>
        </w:rPr>
        <w:t>Journal of Air Transport Management,</w:t>
      </w:r>
      <w:r w:rsidRPr="00B51040">
        <w:rPr>
          <w:noProof/>
        </w:rPr>
        <w:t xml:space="preserve"> </w:t>
      </w:r>
      <w:r w:rsidRPr="00B51040">
        <w:rPr>
          <w:b/>
          <w:noProof/>
        </w:rPr>
        <w:t xml:space="preserve">58, </w:t>
      </w:r>
      <w:r w:rsidRPr="00B51040">
        <w:rPr>
          <w:noProof/>
        </w:rPr>
        <w:t>pp. 135-143.</w:t>
      </w:r>
    </w:p>
    <w:p w14:paraId="3DF7C9AC" w14:textId="77777777" w:rsidR="00EC7E61" w:rsidRPr="00B51040" w:rsidRDefault="00EC7E61" w:rsidP="00EC7E61">
      <w:pPr>
        <w:pStyle w:val="EndNoteBibliography"/>
        <w:ind w:left="720" w:hanging="720"/>
        <w:jc w:val="left"/>
        <w:rPr>
          <w:noProof/>
        </w:rPr>
      </w:pPr>
      <w:r w:rsidRPr="00612C49">
        <w:rPr>
          <w:noProof/>
          <w:lang w:val="de-DE"/>
        </w:rPr>
        <w:t xml:space="preserve">Kim, J.-Y., S. Finkelstein and J. Haleblian (2015). </w:t>
      </w:r>
      <w:r w:rsidRPr="00B51040">
        <w:rPr>
          <w:noProof/>
        </w:rPr>
        <w:t xml:space="preserve">'All aspirations are not ceated equal: The differential effects of historical and social aspirations on acquisition behavior', </w:t>
      </w:r>
      <w:r w:rsidRPr="00B51040">
        <w:rPr>
          <w:i/>
          <w:noProof/>
        </w:rPr>
        <w:t>Academy of Management Journal,</w:t>
      </w:r>
      <w:r w:rsidRPr="00B51040">
        <w:rPr>
          <w:noProof/>
        </w:rPr>
        <w:t xml:space="preserve"> </w:t>
      </w:r>
      <w:r w:rsidRPr="00B51040">
        <w:rPr>
          <w:b/>
          <w:noProof/>
        </w:rPr>
        <w:t xml:space="preserve">58, </w:t>
      </w:r>
      <w:r w:rsidRPr="00B51040">
        <w:rPr>
          <w:noProof/>
        </w:rPr>
        <w:t>pp. 1361-1388.</w:t>
      </w:r>
    </w:p>
    <w:p w14:paraId="66009A4F" w14:textId="77777777" w:rsidR="00EC7E61" w:rsidRPr="00B51040" w:rsidRDefault="00EC7E61" w:rsidP="00EC7E61">
      <w:pPr>
        <w:pStyle w:val="EndNoteBibliography"/>
        <w:ind w:left="720" w:hanging="720"/>
        <w:jc w:val="left"/>
        <w:rPr>
          <w:noProof/>
        </w:rPr>
      </w:pPr>
      <w:r w:rsidRPr="00B51040">
        <w:rPr>
          <w:noProof/>
        </w:rPr>
        <w:t xml:space="preserve">Kim, K.-H. and W. Tsai (2012). 'Social comparison among competing firms', </w:t>
      </w:r>
      <w:r w:rsidRPr="00B51040">
        <w:rPr>
          <w:i/>
          <w:noProof/>
        </w:rPr>
        <w:t>Strategic Management Journal,</w:t>
      </w:r>
      <w:r w:rsidRPr="00B51040">
        <w:rPr>
          <w:noProof/>
        </w:rPr>
        <w:t xml:space="preserve"> </w:t>
      </w:r>
      <w:r w:rsidRPr="00B51040">
        <w:rPr>
          <w:b/>
          <w:noProof/>
        </w:rPr>
        <w:t xml:space="preserve">33, </w:t>
      </w:r>
      <w:r w:rsidRPr="00B51040">
        <w:rPr>
          <w:noProof/>
        </w:rPr>
        <w:t>pp. 115-136.</w:t>
      </w:r>
    </w:p>
    <w:p w14:paraId="402CA5D6" w14:textId="77777777" w:rsidR="00EC7E61" w:rsidRPr="00B51040" w:rsidRDefault="00EC7E61" w:rsidP="00EC7E61">
      <w:pPr>
        <w:pStyle w:val="EndNoteBibliography"/>
        <w:ind w:left="720" w:hanging="720"/>
        <w:jc w:val="left"/>
        <w:rPr>
          <w:noProof/>
        </w:rPr>
      </w:pPr>
      <w:r w:rsidRPr="00B51040">
        <w:rPr>
          <w:noProof/>
        </w:rPr>
        <w:t xml:space="preserve">Kim, T. and M. Rhee (2017b). 'Structural and behavioral antecedents of change: Status, distinctiveness, and relative performance', </w:t>
      </w:r>
      <w:r w:rsidRPr="00B51040">
        <w:rPr>
          <w:i/>
          <w:noProof/>
        </w:rPr>
        <w:t>Journal of Management,</w:t>
      </w:r>
      <w:r w:rsidRPr="00B51040">
        <w:rPr>
          <w:noProof/>
        </w:rPr>
        <w:t xml:space="preserve"> </w:t>
      </w:r>
      <w:r w:rsidRPr="00B51040">
        <w:rPr>
          <w:b/>
          <w:noProof/>
        </w:rPr>
        <w:t xml:space="preserve">43, </w:t>
      </w:r>
      <w:r w:rsidRPr="00B51040">
        <w:rPr>
          <w:noProof/>
        </w:rPr>
        <w:t>pp. 716-741.</w:t>
      </w:r>
    </w:p>
    <w:p w14:paraId="0BE2D41E" w14:textId="77777777" w:rsidR="00EC7E61" w:rsidRPr="00B51040" w:rsidRDefault="00EC7E61" w:rsidP="00EC7E61">
      <w:pPr>
        <w:pStyle w:val="EndNoteBibliography"/>
        <w:ind w:left="720" w:hanging="720"/>
        <w:jc w:val="left"/>
        <w:rPr>
          <w:noProof/>
        </w:rPr>
      </w:pPr>
      <w:r w:rsidRPr="00B51040">
        <w:rPr>
          <w:noProof/>
        </w:rPr>
        <w:t xml:space="preserve">Kolev, K. D. (2016). 'To divest or not to divest: A meta-analysis of the antecedents of corporate divestitures', </w:t>
      </w:r>
      <w:r w:rsidRPr="00B51040">
        <w:rPr>
          <w:i/>
          <w:noProof/>
        </w:rPr>
        <w:t>British Journal of Management,</w:t>
      </w:r>
      <w:r w:rsidRPr="00B51040">
        <w:rPr>
          <w:noProof/>
        </w:rPr>
        <w:t xml:space="preserve"> </w:t>
      </w:r>
      <w:r w:rsidRPr="00B51040">
        <w:rPr>
          <w:b/>
          <w:noProof/>
        </w:rPr>
        <w:t xml:space="preserve">27, </w:t>
      </w:r>
      <w:r w:rsidRPr="00B51040">
        <w:rPr>
          <w:noProof/>
        </w:rPr>
        <w:t>pp. 179-196.</w:t>
      </w:r>
    </w:p>
    <w:p w14:paraId="17F0406B" w14:textId="77777777" w:rsidR="00EC7E61" w:rsidRPr="00B51040" w:rsidRDefault="00EC7E61" w:rsidP="00EC7E61">
      <w:pPr>
        <w:pStyle w:val="EndNoteBibliography"/>
        <w:ind w:left="720" w:hanging="720"/>
        <w:jc w:val="left"/>
        <w:rPr>
          <w:noProof/>
        </w:rPr>
      </w:pPr>
      <w:r w:rsidRPr="00612C49">
        <w:rPr>
          <w:noProof/>
          <w:lang w:val="de-DE"/>
        </w:rPr>
        <w:t xml:space="preserve">Kotiloglu, S., Y. Chen and T. Lechler (2021). </w:t>
      </w:r>
      <w:r w:rsidRPr="00B51040">
        <w:rPr>
          <w:noProof/>
        </w:rPr>
        <w:t xml:space="preserve">'Organizational responses to performance feedback: A meta-analytic review', </w:t>
      </w:r>
      <w:r w:rsidRPr="00B51040">
        <w:rPr>
          <w:i/>
          <w:noProof/>
        </w:rPr>
        <w:t>Strategic Organization,</w:t>
      </w:r>
      <w:r w:rsidRPr="00B51040">
        <w:rPr>
          <w:noProof/>
        </w:rPr>
        <w:t xml:space="preserve"> </w:t>
      </w:r>
      <w:r w:rsidRPr="00B51040">
        <w:rPr>
          <w:b/>
          <w:noProof/>
        </w:rPr>
        <w:t xml:space="preserve">19, </w:t>
      </w:r>
      <w:r w:rsidRPr="00B51040">
        <w:rPr>
          <w:noProof/>
        </w:rPr>
        <w:t>pp. 285-311.</w:t>
      </w:r>
    </w:p>
    <w:p w14:paraId="76E40137" w14:textId="77777777" w:rsidR="00EC7E61" w:rsidRPr="00B51040" w:rsidRDefault="00EC7E61" w:rsidP="00EC7E61">
      <w:pPr>
        <w:pStyle w:val="EndNoteBibliography"/>
        <w:ind w:left="720" w:hanging="720"/>
        <w:jc w:val="left"/>
        <w:rPr>
          <w:noProof/>
        </w:rPr>
      </w:pPr>
      <w:r w:rsidRPr="00B51040">
        <w:rPr>
          <w:noProof/>
        </w:rPr>
        <w:t xml:space="preserve">Kotiloglu, S., T. Lechler and Y. Chen (2018). 'A longitudinal analysis on the effects of strategic change on the sustainability of hyper growth', </w:t>
      </w:r>
      <w:r w:rsidRPr="00B51040">
        <w:rPr>
          <w:i/>
          <w:noProof/>
        </w:rPr>
        <w:t>Academy of Management Proceedings,</w:t>
      </w:r>
      <w:r w:rsidRPr="00B51040">
        <w:rPr>
          <w:noProof/>
        </w:rPr>
        <w:t xml:space="preserve"> </w:t>
      </w:r>
      <w:r w:rsidRPr="00B51040">
        <w:rPr>
          <w:b/>
          <w:noProof/>
        </w:rPr>
        <w:t xml:space="preserve">2018, </w:t>
      </w:r>
      <w:r w:rsidRPr="00B51040">
        <w:rPr>
          <w:noProof/>
        </w:rPr>
        <w:t>p. 12852.</w:t>
      </w:r>
    </w:p>
    <w:p w14:paraId="240F8B9A" w14:textId="77777777" w:rsidR="00EC7E61" w:rsidRPr="00B51040" w:rsidRDefault="00EC7E61" w:rsidP="00EC7E61">
      <w:pPr>
        <w:pStyle w:val="EndNoteBibliography"/>
        <w:ind w:left="720" w:hanging="720"/>
        <w:jc w:val="left"/>
        <w:rPr>
          <w:noProof/>
        </w:rPr>
      </w:pPr>
      <w:r w:rsidRPr="00B51040">
        <w:rPr>
          <w:noProof/>
        </w:rPr>
        <w:t xml:space="preserve">Kotlar, J., A. De Massis, H. Fang and F. Frattini (2014a). 'Strategic reference points in family firms', </w:t>
      </w:r>
      <w:r w:rsidRPr="00B51040">
        <w:rPr>
          <w:i/>
          <w:noProof/>
        </w:rPr>
        <w:t>Small Business Economics,</w:t>
      </w:r>
      <w:r w:rsidRPr="00B51040">
        <w:rPr>
          <w:noProof/>
        </w:rPr>
        <w:t xml:space="preserve"> </w:t>
      </w:r>
      <w:r w:rsidRPr="00B51040">
        <w:rPr>
          <w:b/>
          <w:noProof/>
        </w:rPr>
        <w:t xml:space="preserve">43, </w:t>
      </w:r>
      <w:r w:rsidRPr="00B51040">
        <w:rPr>
          <w:noProof/>
        </w:rPr>
        <w:t>pp. 597-619.</w:t>
      </w:r>
    </w:p>
    <w:p w14:paraId="036B46BA" w14:textId="77777777" w:rsidR="00EC7E61" w:rsidRPr="00B51040" w:rsidRDefault="00EC7E61" w:rsidP="00EC7E61">
      <w:pPr>
        <w:pStyle w:val="EndNoteBibliography"/>
        <w:ind w:left="720" w:hanging="720"/>
        <w:jc w:val="left"/>
        <w:rPr>
          <w:noProof/>
        </w:rPr>
      </w:pPr>
      <w:r w:rsidRPr="00B51040">
        <w:rPr>
          <w:noProof/>
        </w:rPr>
        <w:lastRenderedPageBreak/>
        <w:t xml:space="preserve">Kotlar, J., A. De Massis, F. Frattini, M. Bianchi and H. Fang (2013). 'Technology acquisition in family and nonfamily firms: A longitudinal analysis of Spanish manufacturing firms', </w:t>
      </w:r>
      <w:r w:rsidRPr="00B51040">
        <w:rPr>
          <w:i/>
          <w:noProof/>
        </w:rPr>
        <w:t>Journal of Product Innovation Management,</w:t>
      </w:r>
      <w:r w:rsidRPr="00B51040">
        <w:rPr>
          <w:noProof/>
        </w:rPr>
        <w:t xml:space="preserve"> </w:t>
      </w:r>
      <w:r w:rsidRPr="00B51040">
        <w:rPr>
          <w:b/>
          <w:noProof/>
        </w:rPr>
        <w:t xml:space="preserve">30, </w:t>
      </w:r>
      <w:r w:rsidRPr="00B51040">
        <w:rPr>
          <w:noProof/>
        </w:rPr>
        <w:t>pp. 1073-1088.</w:t>
      </w:r>
    </w:p>
    <w:p w14:paraId="4584EE64" w14:textId="77777777" w:rsidR="00EC7E61" w:rsidRPr="00B51040" w:rsidRDefault="00EC7E61" w:rsidP="00EC7E61">
      <w:pPr>
        <w:pStyle w:val="EndNoteBibliography"/>
        <w:ind w:left="720" w:hanging="720"/>
        <w:jc w:val="left"/>
        <w:rPr>
          <w:noProof/>
        </w:rPr>
      </w:pPr>
      <w:r w:rsidRPr="00B51040">
        <w:rPr>
          <w:noProof/>
        </w:rPr>
        <w:t xml:space="preserve">Kotlar, J., H. Fang, A. De Massis and F. Frattini (2014b). 'Profitability goals, control goals, and the R&amp;D investment decisions of family and nonfamily firms', </w:t>
      </w:r>
      <w:r w:rsidRPr="00B51040">
        <w:rPr>
          <w:i/>
          <w:noProof/>
        </w:rPr>
        <w:t>Journal of Product Innovation Management,</w:t>
      </w:r>
      <w:r w:rsidRPr="00B51040">
        <w:rPr>
          <w:noProof/>
        </w:rPr>
        <w:t xml:space="preserve"> </w:t>
      </w:r>
      <w:r w:rsidRPr="00B51040">
        <w:rPr>
          <w:b/>
          <w:noProof/>
        </w:rPr>
        <w:t xml:space="preserve">31, </w:t>
      </w:r>
      <w:r w:rsidRPr="00B51040">
        <w:rPr>
          <w:noProof/>
        </w:rPr>
        <w:t>pp. 1128-1145.</w:t>
      </w:r>
    </w:p>
    <w:p w14:paraId="17BA3B3C" w14:textId="77777777" w:rsidR="00EC7E61" w:rsidRPr="00B51040" w:rsidRDefault="00EC7E61" w:rsidP="00EC7E61">
      <w:pPr>
        <w:pStyle w:val="EndNoteBibliography"/>
        <w:ind w:left="720" w:hanging="720"/>
        <w:jc w:val="left"/>
        <w:rPr>
          <w:noProof/>
        </w:rPr>
      </w:pPr>
      <w:r w:rsidRPr="00B51040">
        <w:rPr>
          <w:noProof/>
        </w:rPr>
        <w:t xml:space="preserve">Kraus, M. W. and S. Chen (2009). 'Striving to be known by significant others: automatic activation of self-verification goals in relationship contexts', </w:t>
      </w:r>
      <w:r w:rsidRPr="00B51040">
        <w:rPr>
          <w:i/>
          <w:noProof/>
        </w:rPr>
        <w:t>J Pers Soc Psychol,</w:t>
      </w:r>
      <w:r w:rsidRPr="00B51040">
        <w:rPr>
          <w:noProof/>
        </w:rPr>
        <w:t xml:space="preserve"> </w:t>
      </w:r>
      <w:r w:rsidRPr="00B51040">
        <w:rPr>
          <w:b/>
          <w:noProof/>
        </w:rPr>
        <w:t xml:space="preserve">97, </w:t>
      </w:r>
      <w:r w:rsidRPr="00B51040">
        <w:rPr>
          <w:noProof/>
        </w:rPr>
        <w:t>pp. 58-73.</w:t>
      </w:r>
    </w:p>
    <w:p w14:paraId="5E7F3C85" w14:textId="77777777" w:rsidR="00EC7E61" w:rsidRPr="00B51040" w:rsidRDefault="00EC7E61" w:rsidP="00EC7E61">
      <w:pPr>
        <w:pStyle w:val="EndNoteBibliography"/>
        <w:ind w:left="720" w:hanging="720"/>
        <w:jc w:val="left"/>
        <w:rPr>
          <w:noProof/>
        </w:rPr>
      </w:pPr>
      <w:r w:rsidRPr="00B51040">
        <w:rPr>
          <w:noProof/>
        </w:rPr>
        <w:t xml:space="preserve">Krishnan, R. and R. K. Kozhikode (2015). 'Status and corporate illegality: Illegal loan recovery practices of commercial banks in India', </w:t>
      </w:r>
      <w:r w:rsidRPr="00B51040">
        <w:rPr>
          <w:i/>
          <w:noProof/>
        </w:rPr>
        <w:t>Academy of Management Journal,</w:t>
      </w:r>
      <w:r w:rsidRPr="00B51040">
        <w:rPr>
          <w:noProof/>
        </w:rPr>
        <w:t xml:space="preserve"> </w:t>
      </w:r>
      <w:r w:rsidRPr="00B51040">
        <w:rPr>
          <w:b/>
          <w:noProof/>
        </w:rPr>
        <w:t xml:space="preserve">58, </w:t>
      </w:r>
      <w:r w:rsidRPr="00B51040">
        <w:rPr>
          <w:noProof/>
        </w:rPr>
        <w:t>pp. 1287-1312.</w:t>
      </w:r>
    </w:p>
    <w:p w14:paraId="52419E58" w14:textId="77777777" w:rsidR="00EC7E61" w:rsidRPr="00B51040" w:rsidRDefault="00EC7E61" w:rsidP="00EC7E61">
      <w:pPr>
        <w:pStyle w:val="EndNoteBibliography"/>
        <w:ind w:left="720" w:hanging="720"/>
        <w:jc w:val="left"/>
        <w:rPr>
          <w:noProof/>
        </w:rPr>
      </w:pPr>
      <w:r w:rsidRPr="00B51040">
        <w:rPr>
          <w:noProof/>
        </w:rPr>
        <w:t xml:space="preserve">Kuusela, P., T. Keil and M. Maula (2017). 'Driven by aspirations, but in what direction? Performance shortfalls, slack resources, and resource-consuming vs. resource-freeing organizational change', </w:t>
      </w:r>
      <w:r w:rsidRPr="00B51040">
        <w:rPr>
          <w:i/>
          <w:noProof/>
        </w:rPr>
        <w:t>Strategic Management Journal,</w:t>
      </w:r>
      <w:r w:rsidRPr="00B51040">
        <w:rPr>
          <w:noProof/>
        </w:rPr>
        <w:t xml:space="preserve"> </w:t>
      </w:r>
      <w:r w:rsidRPr="00B51040">
        <w:rPr>
          <w:b/>
          <w:noProof/>
        </w:rPr>
        <w:t xml:space="preserve">38, </w:t>
      </w:r>
      <w:r w:rsidRPr="00B51040">
        <w:rPr>
          <w:noProof/>
        </w:rPr>
        <w:t>pp. 1101-1120.</w:t>
      </w:r>
    </w:p>
    <w:p w14:paraId="3A64829E" w14:textId="77777777" w:rsidR="00EC7E61" w:rsidRPr="00B51040" w:rsidRDefault="00EC7E61" w:rsidP="00EC7E61">
      <w:pPr>
        <w:pStyle w:val="EndNoteBibliography"/>
        <w:ind w:left="720" w:hanging="720"/>
        <w:jc w:val="left"/>
        <w:rPr>
          <w:noProof/>
        </w:rPr>
      </w:pPr>
      <w:r w:rsidRPr="00B51040">
        <w:rPr>
          <w:noProof/>
        </w:rPr>
        <w:t xml:space="preserve">Labianca, G. and J. F. Fairbank (2005). Interorganizational monitoring: Process, choices, and outcomes. In: G. Szulanski, J. Porac and Y. Doz (eds.), </w:t>
      </w:r>
      <w:r w:rsidRPr="00B51040">
        <w:rPr>
          <w:i/>
          <w:noProof/>
        </w:rPr>
        <w:t>Strategy Process (Advances in Strategic Management.</w:t>
      </w:r>
      <w:r w:rsidRPr="00B51040">
        <w:rPr>
          <w:noProof/>
        </w:rPr>
        <w:t xml:space="preserve"> pp. 117-150. Bingley: Emerald Group Publishing Limited.</w:t>
      </w:r>
    </w:p>
    <w:p w14:paraId="3CF3A969" w14:textId="77777777" w:rsidR="00EC7E61" w:rsidRPr="00B51040" w:rsidRDefault="00EC7E61" w:rsidP="00EC7E61">
      <w:pPr>
        <w:pStyle w:val="EndNoteBibliography"/>
        <w:ind w:left="720" w:hanging="720"/>
        <w:jc w:val="left"/>
        <w:rPr>
          <w:noProof/>
        </w:rPr>
      </w:pPr>
      <w:r w:rsidRPr="00B51040">
        <w:rPr>
          <w:noProof/>
        </w:rPr>
        <w:t xml:space="preserve">Labianca, G., J. F. Fairbank, G. Andrevski and M. Parzen (2009). 'Striving toward the future: Aspiration-performance discrepancies and planned organizational change', </w:t>
      </w:r>
      <w:r w:rsidRPr="00B51040">
        <w:rPr>
          <w:i/>
          <w:noProof/>
        </w:rPr>
        <w:t>Strategic Organization,</w:t>
      </w:r>
      <w:r w:rsidRPr="00B51040">
        <w:rPr>
          <w:noProof/>
        </w:rPr>
        <w:t xml:space="preserve"> </w:t>
      </w:r>
      <w:r w:rsidRPr="00B51040">
        <w:rPr>
          <w:b/>
          <w:noProof/>
        </w:rPr>
        <w:t xml:space="preserve">7, </w:t>
      </w:r>
      <w:r w:rsidRPr="00B51040">
        <w:rPr>
          <w:noProof/>
        </w:rPr>
        <w:t>pp. 433-466.</w:t>
      </w:r>
    </w:p>
    <w:p w14:paraId="6AB6FBF5" w14:textId="77777777" w:rsidR="00EC7E61" w:rsidRPr="00B51040" w:rsidRDefault="00EC7E61" w:rsidP="00EC7E61">
      <w:pPr>
        <w:pStyle w:val="EndNoteBibliography"/>
        <w:ind w:left="720" w:hanging="720"/>
        <w:jc w:val="left"/>
        <w:rPr>
          <w:noProof/>
        </w:rPr>
      </w:pPr>
      <w:r w:rsidRPr="00B51040">
        <w:rPr>
          <w:noProof/>
        </w:rPr>
        <w:t xml:space="preserve">Lant , T. K. and P. F. Hewlin (2002). 'Information cues and decision making: The effects of learning, momentum and socual comparison in competing teams', </w:t>
      </w:r>
      <w:r w:rsidRPr="00B51040">
        <w:rPr>
          <w:i/>
          <w:noProof/>
        </w:rPr>
        <w:t>Group &amp; Organization Management,</w:t>
      </w:r>
      <w:r w:rsidRPr="00B51040">
        <w:rPr>
          <w:noProof/>
        </w:rPr>
        <w:t xml:space="preserve"> </w:t>
      </w:r>
      <w:r w:rsidRPr="00B51040">
        <w:rPr>
          <w:b/>
          <w:noProof/>
        </w:rPr>
        <w:t xml:space="preserve">27, </w:t>
      </w:r>
      <w:r w:rsidRPr="00B51040">
        <w:rPr>
          <w:noProof/>
        </w:rPr>
        <w:t>pp. 374-407.</w:t>
      </w:r>
    </w:p>
    <w:p w14:paraId="08ECC58B" w14:textId="77777777" w:rsidR="00EC7E61" w:rsidRPr="00B51040" w:rsidRDefault="00EC7E61" w:rsidP="00EC7E61">
      <w:pPr>
        <w:pStyle w:val="EndNoteBibliography"/>
        <w:ind w:left="720" w:hanging="720"/>
        <w:jc w:val="left"/>
        <w:rPr>
          <w:noProof/>
        </w:rPr>
      </w:pPr>
      <w:r w:rsidRPr="00B51040">
        <w:rPr>
          <w:noProof/>
        </w:rPr>
        <w:t xml:space="preserve">Lee, J., M. Rhee and K. M. Park (2020). 'Looking backward through the looking glass: Reference groups and social comparison', </w:t>
      </w:r>
      <w:r w:rsidRPr="00B51040">
        <w:rPr>
          <w:i/>
          <w:noProof/>
        </w:rPr>
        <w:t>Journal of Management &amp; Organization,</w:t>
      </w:r>
      <w:r w:rsidRPr="00B51040">
        <w:rPr>
          <w:noProof/>
        </w:rPr>
        <w:t xml:space="preserve"> </w:t>
      </w:r>
      <w:r w:rsidRPr="00B51040">
        <w:rPr>
          <w:b/>
          <w:noProof/>
        </w:rPr>
        <w:t xml:space="preserve">26, </w:t>
      </w:r>
      <w:r w:rsidRPr="00B51040">
        <w:rPr>
          <w:noProof/>
        </w:rPr>
        <w:t>pp. 110-131.</w:t>
      </w:r>
    </w:p>
    <w:p w14:paraId="7E63094F" w14:textId="77777777" w:rsidR="00EC7E61" w:rsidRPr="00B51040" w:rsidRDefault="00EC7E61" w:rsidP="00EC7E61">
      <w:pPr>
        <w:pStyle w:val="EndNoteBibliography"/>
        <w:ind w:left="720" w:hanging="720"/>
        <w:jc w:val="left"/>
        <w:rPr>
          <w:noProof/>
        </w:rPr>
      </w:pPr>
      <w:r w:rsidRPr="00612C49">
        <w:rPr>
          <w:noProof/>
          <w:lang w:val="de-DE"/>
        </w:rPr>
        <w:t xml:space="preserve">Lehman, D. W. and J. Hahn (2013). </w:t>
      </w:r>
      <w:r w:rsidRPr="00B51040">
        <w:rPr>
          <w:noProof/>
        </w:rPr>
        <w:t xml:space="preserve">'Momentum and organizational risk taking: Evidence from the National Football League', </w:t>
      </w:r>
      <w:r w:rsidRPr="00B51040">
        <w:rPr>
          <w:i/>
          <w:noProof/>
        </w:rPr>
        <w:t>Management Science,</w:t>
      </w:r>
      <w:r w:rsidRPr="00B51040">
        <w:rPr>
          <w:noProof/>
        </w:rPr>
        <w:t xml:space="preserve"> </w:t>
      </w:r>
      <w:r w:rsidRPr="00B51040">
        <w:rPr>
          <w:b/>
          <w:noProof/>
        </w:rPr>
        <w:t xml:space="preserve">59, </w:t>
      </w:r>
      <w:r w:rsidRPr="00B51040">
        <w:rPr>
          <w:noProof/>
        </w:rPr>
        <w:t>pp. 852-868.</w:t>
      </w:r>
    </w:p>
    <w:p w14:paraId="38691529" w14:textId="77777777" w:rsidR="00EC7E61" w:rsidRPr="00B51040" w:rsidRDefault="00EC7E61" w:rsidP="00EC7E61">
      <w:pPr>
        <w:pStyle w:val="EndNoteBibliography"/>
        <w:ind w:left="720" w:hanging="720"/>
        <w:jc w:val="left"/>
        <w:rPr>
          <w:noProof/>
        </w:rPr>
      </w:pPr>
      <w:r w:rsidRPr="00B51040">
        <w:rPr>
          <w:noProof/>
        </w:rPr>
        <w:t xml:space="preserve">Lewellyn, K. B. and S. R. Bao (2015). 'R&amp;D investment in the global paper products industry: A behavioral theory of the firm and national culture perspective', </w:t>
      </w:r>
      <w:r w:rsidRPr="00B51040">
        <w:rPr>
          <w:i/>
          <w:noProof/>
        </w:rPr>
        <w:t>Journal of International Management,</w:t>
      </w:r>
      <w:r w:rsidRPr="00B51040">
        <w:rPr>
          <w:noProof/>
        </w:rPr>
        <w:t xml:space="preserve"> </w:t>
      </w:r>
      <w:r w:rsidRPr="00B51040">
        <w:rPr>
          <w:b/>
          <w:noProof/>
        </w:rPr>
        <w:t xml:space="preserve">21, </w:t>
      </w:r>
      <w:r w:rsidRPr="00B51040">
        <w:rPr>
          <w:noProof/>
        </w:rPr>
        <w:t>pp. 1-17.</w:t>
      </w:r>
    </w:p>
    <w:p w14:paraId="325D8A4E" w14:textId="77777777" w:rsidR="00EC7E61" w:rsidRPr="00B51040" w:rsidRDefault="00EC7E61" w:rsidP="00EC7E61">
      <w:pPr>
        <w:pStyle w:val="EndNoteBibliography"/>
        <w:ind w:left="720" w:hanging="720"/>
        <w:jc w:val="left"/>
        <w:rPr>
          <w:noProof/>
        </w:rPr>
      </w:pPr>
      <w:r w:rsidRPr="00B51040">
        <w:rPr>
          <w:noProof/>
        </w:rPr>
        <w:t xml:space="preserve">Lieberman, M. B. and S. Asaba (2006). 'Why do firms imitate each other?', </w:t>
      </w:r>
      <w:r w:rsidRPr="00B51040">
        <w:rPr>
          <w:i/>
          <w:noProof/>
        </w:rPr>
        <w:t>Academy of Management Review,</w:t>
      </w:r>
      <w:r w:rsidRPr="00B51040">
        <w:rPr>
          <w:noProof/>
        </w:rPr>
        <w:t xml:space="preserve"> </w:t>
      </w:r>
      <w:r w:rsidRPr="00B51040">
        <w:rPr>
          <w:b/>
          <w:noProof/>
        </w:rPr>
        <w:t xml:space="preserve">31, </w:t>
      </w:r>
      <w:r w:rsidRPr="00B51040">
        <w:rPr>
          <w:noProof/>
        </w:rPr>
        <w:t>pp. 366-385.</w:t>
      </w:r>
    </w:p>
    <w:p w14:paraId="498FA5F5" w14:textId="77777777" w:rsidR="00EC7E61" w:rsidRPr="00B51040" w:rsidRDefault="00EC7E61" w:rsidP="00EC7E61">
      <w:pPr>
        <w:pStyle w:val="EndNoteBibliography"/>
        <w:ind w:left="720" w:hanging="720"/>
        <w:jc w:val="left"/>
        <w:rPr>
          <w:noProof/>
        </w:rPr>
      </w:pPr>
      <w:r w:rsidRPr="00B51040">
        <w:rPr>
          <w:noProof/>
        </w:rPr>
        <w:t xml:space="preserve">Lim, E. (2017). 'CEO option wealth and firm risk-taking: An analysis of multiple reference points', </w:t>
      </w:r>
      <w:r w:rsidRPr="00B51040">
        <w:rPr>
          <w:i/>
          <w:noProof/>
        </w:rPr>
        <w:t>Long Range Planning,</w:t>
      </w:r>
      <w:r w:rsidRPr="00B51040">
        <w:rPr>
          <w:noProof/>
        </w:rPr>
        <w:t xml:space="preserve"> </w:t>
      </w:r>
      <w:r w:rsidRPr="00B51040">
        <w:rPr>
          <w:b/>
          <w:noProof/>
        </w:rPr>
        <w:t xml:space="preserve">50, </w:t>
      </w:r>
      <w:r w:rsidRPr="00B51040">
        <w:rPr>
          <w:noProof/>
        </w:rPr>
        <w:t>pp. 809-825.</w:t>
      </w:r>
    </w:p>
    <w:p w14:paraId="26DE76C1" w14:textId="77777777" w:rsidR="00EC7E61" w:rsidRPr="00B51040" w:rsidRDefault="00EC7E61" w:rsidP="00EC7E61">
      <w:pPr>
        <w:pStyle w:val="EndNoteBibliography"/>
        <w:ind w:left="720" w:hanging="720"/>
        <w:jc w:val="left"/>
        <w:rPr>
          <w:noProof/>
        </w:rPr>
      </w:pPr>
      <w:r w:rsidRPr="00B51040">
        <w:rPr>
          <w:noProof/>
        </w:rPr>
        <w:t xml:space="preserve">Lim, E. and P. G. Audia (2020). 'Problem-solving or self-enhancing? Influences of diversification and bright spot on corporate resource allocation responses to performance shortfalls', </w:t>
      </w:r>
      <w:r w:rsidRPr="00B51040">
        <w:rPr>
          <w:i/>
          <w:noProof/>
        </w:rPr>
        <w:t>Strategy Science,</w:t>
      </w:r>
      <w:r w:rsidRPr="00B51040">
        <w:rPr>
          <w:noProof/>
        </w:rPr>
        <w:t xml:space="preserve"> </w:t>
      </w:r>
      <w:r w:rsidRPr="00B51040">
        <w:rPr>
          <w:b/>
          <w:noProof/>
        </w:rPr>
        <w:t xml:space="preserve">5, </w:t>
      </w:r>
      <w:r w:rsidRPr="00B51040">
        <w:rPr>
          <w:noProof/>
        </w:rPr>
        <w:t>pp. 348-368.</w:t>
      </w:r>
    </w:p>
    <w:p w14:paraId="3F7EA048" w14:textId="77777777" w:rsidR="00EC7E61" w:rsidRPr="00B51040" w:rsidRDefault="00EC7E61" w:rsidP="00EC7E61">
      <w:pPr>
        <w:pStyle w:val="EndNoteBibliography"/>
        <w:ind w:left="720" w:hanging="720"/>
        <w:jc w:val="left"/>
        <w:rPr>
          <w:noProof/>
        </w:rPr>
      </w:pPr>
      <w:r w:rsidRPr="00B51040">
        <w:rPr>
          <w:noProof/>
        </w:rPr>
        <w:t xml:space="preserve">Lim, E. and B. T. McCann (2014). 'Performance feedback and firm risk taking: The moderating effects of CEO and outside director stock options', </w:t>
      </w:r>
      <w:r w:rsidRPr="00B51040">
        <w:rPr>
          <w:i/>
          <w:noProof/>
        </w:rPr>
        <w:t>Organization Science,</w:t>
      </w:r>
      <w:r w:rsidRPr="00B51040">
        <w:rPr>
          <w:noProof/>
        </w:rPr>
        <w:t xml:space="preserve"> </w:t>
      </w:r>
      <w:r w:rsidRPr="00B51040">
        <w:rPr>
          <w:b/>
          <w:noProof/>
        </w:rPr>
        <w:t xml:space="preserve">25, </w:t>
      </w:r>
      <w:r w:rsidRPr="00B51040">
        <w:rPr>
          <w:noProof/>
        </w:rPr>
        <w:t>pp. 262-282.</w:t>
      </w:r>
    </w:p>
    <w:p w14:paraId="77D7BFA5" w14:textId="77777777" w:rsidR="00EC7E61" w:rsidRPr="00B51040" w:rsidRDefault="00EC7E61" w:rsidP="00EC7E61">
      <w:pPr>
        <w:pStyle w:val="EndNoteBibliography"/>
        <w:ind w:left="720" w:hanging="720"/>
        <w:jc w:val="left"/>
        <w:rPr>
          <w:noProof/>
        </w:rPr>
      </w:pPr>
      <w:r w:rsidRPr="00B51040">
        <w:rPr>
          <w:noProof/>
        </w:rPr>
        <w:t xml:space="preserve">Lin, W.-T. (2014). 'How do managers decide on internationalization processes? The role of organizational slack and performance feedback', </w:t>
      </w:r>
      <w:r w:rsidRPr="00B51040">
        <w:rPr>
          <w:i/>
          <w:noProof/>
        </w:rPr>
        <w:t>Journal of World Business,</w:t>
      </w:r>
      <w:r w:rsidRPr="00B51040">
        <w:rPr>
          <w:noProof/>
        </w:rPr>
        <w:t xml:space="preserve"> </w:t>
      </w:r>
      <w:r w:rsidRPr="00B51040">
        <w:rPr>
          <w:b/>
          <w:noProof/>
        </w:rPr>
        <w:t xml:space="preserve">49, </w:t>
      </w:r>
      <w:r w:rsidRPr="00B51040">
        <w:rPr>
          <w:noProof/>
        </w:rPr>
        <w:t>pp. 396-408.</w:t>
      </w:r>
    </w:p>
    <w:p w14:paraId="2AE026D0" w14:textId="77777777" w:rsidR="00EC7E61" w:rsidRPr="00B51040" w:rsidRDefault="00EC7E61" w:rsidP="00EC7E61">
      <w:pPr>
        <w:pStyle w:val="EndNoteBibliography"/>
        <w:ind w:left="720" w:hanging="720"/>
        <w:jc w:val="left"/>
        <w:rPr>
          <w:noProof/>
        </w:rPr>
      </w:pPr>
      <w:r w:rsidRPr="00B51040">
        <w:rPr>
          <w:noProof/>
        </w:rPr>
        <w:t xml:space="preserve">Lockwood, P. and Z. Kunda (1997). 'Superstars and me: Predicting the impact of role models on the self', </w:t>
      </w:r>
      <w:r w:rsidRPr="00B51040">
        <w:rPr>
          <w:i/>
          <w:noProof/>
        </w:rPr>
        <w:t>Journal of Personality and Social Psychology,</w:t>
      </w:r>
      <w:r w:rsidRPr="00B51040">
        <w:rPr>
          <w:noProof/>
        </w:rPr>
        <w:t xml:space="preserve"> </w:t>
      </w:r>
      <w:r w:rsidRPr="00B51040">
        <w:rPr>
          <w:b/>
          <w:noProof/>
        </w:rPr>
        <w:t xml:space="preserve">73, </w:t>
      </w:r>
      <w:r w:rsidRPr="00B51040">
        <w:rPr>
          <w:noProof/>
        </w:rPr>
        <w:t>pp. 91-103.</w:t>
      </w:r>
    </w:p>
    <w:p w14:paraId="743DB56D" w14:textId="77777777" w:rsidR="00EC7E61" w:rsidRPr="00B51040" w:rsidRDefault="00EC7E61" w:rsidP="00EC7E61">
      <w:pPr>
        <w:pStyle w:val="EndNoteBibliography"/>
        <w:ind w:left="720" w:hanging="720"/>
        <w:jc w:val="left"/>
        <w:rPr>
          <w:noProof/>
        </w:rPr>
      </w:pPr>
      <w:r w:rsidRPr="00B51040">
        <w:rPr>
          <w:noProof/>
        </w:rPr>
        <w:t xml:space="preserve">Lu, L.-H. and P.-K. Wong (2019). 'Performance feedback, financial slack and the innovation behavior of firms', </w:t>
      </w:r>
      <w:r w:rsidRPr="00B51040">
        <w:rPr>
          <w:i/>
          <w:noProof/>
        </w:rPr>
        <w:t>Asia Pacific Journal of Management,</w:t>
      </w:r>
      <w:r w:rsidRPr="00B51040">
        <w:rPr>
          <w:noProof/>
        </w:rPr>
        <w:t xml:space="preserve"> </w:t>
      </w:r>
      <w:r w:rsidRPr="00B51040">
        <w:rPr>
          <w:b/>
          <w:noProof/>
        </w:rPr>
        <w:t xml:space="preserve">36, </w:t>
      </w:r>
      <w:r w:rsidRPr="00B51040">
        <w:rPr>
          <w:noProof/>
        </w:rPr>
        <w:t>pp. 1079-1109.</w:t>
      </w:r>
    </w:p>
    <w:p w14:paraId="7E661BD1" w14:textId="77777777" w:rsidR="00EC7E61" w:rsidRPr="00B51040" w:rsidRDefault="00EC7E61" w:rsidP="00EC7E61">
      <w:pPr>
        <w:pStyle w:val="EndNoteBibliography"/>
        <w:ind w:left="720" w:hanging="720"/>
        <w:jc w:val="left"/>
        <w:rPr>
          <w:noProof/>
        </w:rPr>
      </w:pPr>
      <w:r w:rsidRPr="00612C49">
        <w:rPr>
          <w:noProof/>
          <w:lang w:val="de-DE"/>
        </w:rPr>
        <w:t xml:space="preserve">Lungeanu, R., I. Stern and E. J. Zajac (2016). </w:t>
      </w:r>
      <w:r w:rsidRPr="00B51040">
        <w:rPr>
          <w:noProof/>
        </w:rPr>
        <w:t xml:space="preserve">'When do firms change technology-sourcing vehicles? The role of poor innovative performance and financial slack', </w:t>
      </w:r>
      <w:r w:rsidRPr="00B51040">
        <w:rPr>
          <w:i/>
          <w:noProof/>
        </w:rPr>
        <w:t>Strategic Management Journal,</w:t>
      </w:r>
      <w:r w:rsidRPr="00B51040">
        <w:rPr>
          <w:noProof/>
        </w:rPr>
        <w:t xml:space="preserve"> </w:t>
      </w:r>
      <w:r w:rsidRPr="00B51040">
        <w:rPr>
          <w:b/>
          <w:noProof/>
        </w:rPr>
        <w:t xml:space="preserve">37, </w:t>
      </w:r>
      <w:r w:rsidRPr="00B51040">
        <w:rPr>
          <w:noProof/>
        </w:rPr>
        <w:t>pp. 855-869.</w:t>
      </w:r>
    </w:p>
    <w:p w14:paraId="2E461FA2" w14:textId="77777777" w:rsidR="00EC7E61" w:rsidRPr="00B51040" w:rsidRDefault="00EC7E61" w:rsidP="00EC7E61">
      <w:pPr>
        <w:pStyle w:val="EndNoteBibliography"/>
        <w:ind w:left="720" w:hanging="720"/>
        <w:jc w:val="left"/>
        <w:rPr>
          <w:noProof/>
        </w:rPr>
      </w:pPr>
      <w:r w:rsidRPr="00612C49">
        <w:rPr>
          <w:noProof/>
          <w:lang w:val="de-DE"/>
        </w:rPr>
        <w:t xml:space="preserve">Lv, D. D., W. Chen, H. Zhu and H. Lan (2019). </w:t>
      </w:r>
      <w:r w:rsidRPr="00B51040">
        <w:rPr>
          <w:noProof/>
        </w:rPr>
        <w:t xml:space="preserve">'How does inconsistent negative performance feedback affect the R&amp;D investments of firms? A study of publicly listed firms', </w:t>
      </w:r>
      <w:r w:rsidRPr="00B51040">
        <w:rPr>
          <w:i/>
          <w:noProof/>
        </w:rPr>
        <w:t>Journal of Business Research,</w:t>
      </w:r>
      <w:r w:rsidRPr="00B51040">
        <w:rPr>
          <w:noProof/>
        </w:rPr>
        <w:t xml:space="preserve"> </w:t>
      </w:r>
      <w:r w:rsidRPr="00B51040">
        <w:rPr>
          <w:b/>
          <w:noProof/>
        </w:rPr>
        <w:t xml:space="preserve">102, </w:t>
      </w:r>
      <w:r w:rsidRPr="00B51040">
        <w:rPr>
          <w:noProof/>
        </w:rPr>
        <w:t>pp. 151-162.</w:t>
      </w:r>
    </w:p>
    <w:p w14:paraId="53384352" w14:textId="77777777" w:rsidR="00EC7E61" w:rsidRPr="00B51040" w:rsidRDefault="00EC7E61" w:rsidP="00EC7E61">
      <w:pPr>
        <w:pStyle w:val="EndNoteBibliography"/>
        <w:ind w:left="720" w:hanging="720"/>
        <w:jc w:val="left"/>
        <w:rPr>
          <w:noProof/>
        </w:rPr>
      </w:pPr>
      <w:r w:rsidRPr="00B51040">
        <w:rPr>
          <w:noProof/>
        </w:rPr>
        <w:lastRenderedPageBreak/>
        <w:t xml:space="preserve">Lv, D. D., H. Zhu, W. Chen and H. Lan (2021). 'Negative performance feedback and firm cooperation: How multiple upward social comparisons affect firm cooperative R&amp;D', </w:t>
      </w:r>
      <w:r w:rsidRPr="00B51040">
        <w:rPr>
          <w:i/>
          <w:noProof/>
        </w:rPr>
        <w:t>Journal of Business Research,</w:t>
      </w:r>
      <w:r w:rsidRPr="00B51040">
        <w:rPr>
          <w:noProof/>
        </w:rPr>
        <w:t xml:space="preserve"> </w:t>
      </w:r>
      <w:r w:rsidRPr="00B51040">
        <w:rPr>
          <w:b/>
          <w:noProof/>
        </w:rPr>
        <w:t xml:space="preserve">132, </w:t>
      </w:r>
      <w:r w:rsidRPr="00B51040">
        <w:rPr>
          <w:noProof/>
        </w:rPr>
        <w:t>pp. 872-883.</w:t>
      </w:r>
    </w:p>
    <w:p w14:paraId="307B86D8" w14:textId="77777777" w:rsidR="00EC7E61" w:rsidRPr="00B51040" w:rsidRDefault="00EC7E61" w:rsidP="00EC7E61">
      <w:pPr>
        <w:pStyle w:val="EndNoteBibliography"/>
        <w:ind w:left="720" w:hanging="720"/>
        <w:jc w:val="left"/>
        <w:rPr>
          <w:noProof/>
        </w:rPr>
      </w:pPr>
      <w:r w:rsidRPr="00B51040">
        <w:rPr>
          <w:noProof/>
        </w:rPr>
        <w:t>Lyócsa, Š., T. Výrost and E. Baumöhl (2018). 'Social aspirations in European banks: peerinfluenced</w:t>
      </w:r>
    </w:p>
    <w:p w14:paraId="0DF0CF15" w14:textId="77777777" w:rsidR="00EC7E61" w:rsidRPr="00612C49" w:rsidRDefault="00EC7E61" w:rsidP="00EC7E61">
      <w:pPr>
        <w:pStyle w:val="EndNoteBibliography"/>
        <w:ind w:left="720" w:hanging="720"/>
        <w:jc w:val="left"/>
        <w:rPr>
          <w:i/>
          <w:noProof/>
          <w:lang w:val="de-DE"/>
        </w:rPr>
      </w:pPr>
      <w:r w:rsidRPr="00612C49">
        <w:rPr>
          <w:noProof/>
          <w:lang w:val="de-DE"/>
        </w:rPr>
        <w:t xml:space="preserve">risk behavior', </w:t>
      </w:r>
      <w:r w:rsidRPr="00612C49">
        <w:rPr>
          <w:i/>
          <w:noProof/>
          <w:lang w:val="de-DE"/>
        </w:rPr>
        <w:t>ZBW - Deutsche Zentralbibliothek</w:t>
      </w:r>
    </w:p>
    <w:p w14:paraId="6A451E76" w14:textId="77777777" w:rsidR="00EC7E61" w:rsidRPr="00612C49" w:rsidRDefault="00EC7E61" w:rsidP="00EC7E61">
      <w:pPr>
        <w:pStyle w:val="EndNoteBibliography"/>
        <w:ind w:left="720" w:hanging="720"/>
        <w:jc w:val="left"/>
        <w:rPr>
          <w:noProof/>
          <w:lang w:val="de-DE"/>
        </w:rPr>
      </w:pPr>
      <w:r w:rsidRPr="00612C49">
        <w:rPr>
          <w:i/>
          <w:noProof/>
          <w:lang w:val="de-DE"/>
        </w:rPr>
        <w:t>für Wirtschaftswissenschaften, Leibniz-Informationszentrum Wirtschaft, Kiel und Hamburg</w:t>
      </w:r>
      <w:r w:rsidRPr="00612C49">
        <w:rPr>
          <w:noProof/>
          <w:lang w:val="de-DE"/>
        </w:rPr>
        <w:t>.</w:t>
      </w:r>
    </w:p>
    <w:p w14:paraId="78AE79CB" w14:textId="77777777" w:rsidR="00EC7E61" w:rsidRPr="00B51040" w:rsidRDefault="00EC7E61" w:rsidP="00EC7E61">
      <w:pPr>
        <w:pStyle w:val="EndNoteBibliography"/>
        <w:ind w:left="720" w:hanging="720"/>
        <w:jc w:val="left"/>
        <w:rPr>
          <w:noProof/>
        </w:rPr>
      </w:pPr>
      <w:r w:rsidRPr="00B51040">
        <w:rPr>
          <w:noProof/>
        </w:rPr>
        <w:t xml:space="preserve">Ma, L. (2016). 'Performance feedback, government goal-setting and aspiration level adaptation: Evidence from Chinese provinces', </w:t>
      </w:r>
      <w:r w:rsidRPr="00B51040">
        <w:rPr>
          <w:i/>
          <w:noProof/>
        </w:rPr>
        <w:t>Public Administration,</w:t>
      </w:r>
      <w:r w:rsidRPr="00B51040">
        <w:rPr>
          <w:noProof/>
        </w:rPr>
        <w:t xml:space="preserve"> </w:t>
      </w:r>
      <w:r w:rsidRPr="00B51040">
        <w:rPr>
          <w:b/>
          <w:noProof/>
        </w:rPr>
        <w:t xml:space="preserve">94, </w:t>
      </w:r>
      <w:r w:rsidRPr="00B51040">
        <w:rPr>
          <w:noProof/>
        </w:rPr>
        <w:t>pp. 452-471.</w:t>
      </w:r>
    </w:p>
    <w:p w14:paraId="58835449" w14:textId="77777777" w:rsidR="00EC7E61" w:rsidRPr="00B51040" w:rsidRDefault="00EC7E61" w:rsidP="00EC7E61">
      <w:pPr>
        <w:pStyle w:val="EndNoteBibliography"/>
        <w:ind w:left="720" w:hanging="720"/>
        <w:jc w:val="left"/>
        <w:rPr>
          <w:noProof/>
        </w:rPr>
      </w:pPr>
      <w:r w:rsidRPr="00B51040">
        <w:rPr>
          <w:noProof/>
        </w:rPr>
        <w:t xml:space="preserve">Manzaneque, M., A. A. Rojo-Ramírez, J. Diéguez-Soto and M. J. Martínez-Romero (2020). 'How negative aspiration performance gaps affect innovation efficiency', </w:t>
      </w:r>
      <w:r w:rsidRPr="00B51040">
        <w:rPr>
          <w:i/>
          <w:noProof/>
        </w:rPr>
        <w:t>Small Business Economics,</w:t>
      </w:r>
      <w:r w:rsidRPr="00B51040">
        <w:rPr>
          <w:noProof/>
        </w:rPr>
        <w:t xml:space="preserve"> </w:t>
      </w:r>
      <w:r w:rsidRPr="00B51040">
        <w:rPr>
          <w:b/>
          <w:noProof/>
        </w:rPr>
        <w:t xml:space="preserve">54, </w:t>
      </w:r>
      <w:r w:rsidRPr="00B51040">
        <w:rPr>
          <w:noProof/>
        </w:rPr>
        <w:t>pp. 209-233.</w:t>
      </w:r>
    </w:p>
    <w:p w14:paraId="414551F5" w14:textId="77777777" w:rsidR="00EC7E61" w:rsidRPr="00B51040" w:rsidRDefault="00EC7E61" w:rsidP="00EC7E61">
      <w:pPr>
        <w:pStyle w:val="EndNoteBibliography"/>
        <w:ind w:left="720" w:hanging="720"/>
        <w:jc w:val="left"/>
        <w:rPr>
          <w:noProof/>
        </w:rPr>
      </w:pPr>
      <w:r w:rsidRPr="00B51040">
        <w:rPr>
          <w:noProof/>
        </w:rPr>
        <w:t xml:space="preserve">March, J. G. (1991). 'Exploration and exploitation in organizational learning', </w:t>
      </w:r>
      <w:r w:rsidRPr="00B51040">
        <w:rPr>
          <w:i/>
          <w:noProof/>
        </w:rPr>
        <w:t>Organization Science,</w:t>
      </w:r>
      <w:r w:rsidRPr="00B51040">
        <w:rPr>
          <w:noProof/>
        </w:rPr>
        <w:t xml:space="preserve"> </w:t>
      </w:r>
      <w:r w:rsidRPr="00B51040">
        <w:rPr>
          <w:b/>
          <w:noProof/>
        </w:rPr>
        <w:t xml:space="preserve">2, </w:t>
      </w:r>
      <w:r w:rsidRPr="00B51040">
        <w:rPr>
          <w:noProof/>
        </w:rPr>
        <w:t>pp. 71-87.</w:t>
      </w:r>
    </w:p>
    <w:p w14:paraId="1B65EAE3" w14:textId="77777777" w:rsidR="00EC7E61" w:rsidRPr="00B51040" w:rsidRDefault="00EC7E61" w:rsidP="00EC7E61">
      <w:pPr>
        <w:pStyle w:val="EndNoteBibliography"/>
        <w:ind w:left="720" w:hanging="720"/>
        <w:jc w:val="left"/>
        <w:rPr>
          <w:noProof/>
        </w:rPr>
      </w:pPr>
      <w:r w:rsidRPr="00B51040">
        <w:rPr>
          <w:noProof/>
        </w:rPr>
        <w:t xml:space="preserve">March, J. G. and Z. Shapira (1987). 'Managerial perspectives on risk and risk taking', </w:t>
      </w:r>
      <w:r w:rsidRPr="00B51040">
        <w:rPr>
          <w:i/>
          <w:noProof/>
        </w:rPr>
        <w:t>Management Science,</w:t>
      </w:r>
      <w:r w:rsidRPr="00B51040">
        <w:rPr>
          <w:noProof/>
        </w:rPr>
        <w:t xml:space="preserve"> </w:t>
      </w:r>
      <w:r w:rsidRPr="00B51040">
        <w:rPr>
          <w:b/>
          <w:noProof/>
        </w:rPr>
        <w:t xml:space="preserve">33, </w:t>
      </w:r>
      <w:r w:rsidRPr="00B51040">
        <w:rPr>
          <w:noProof/>
        </w:rPr>
        <w:t>pp. 1404-1418.</w:t>
      </w:r>
    </w:p>
    <w:p w14:paraId="2FF0D9DD" w14:textId="77777777" w:rsidR="00EC7E61" w:rsidRPr="00B51040" w:rsidRDefault="00EC7E61" w:rsidP="00EC7E61">
      <w:pPr>
        <w:pStyle w:val="EndNoteBibliography"/>
        <w:ind w:left="720" w:hanging="720"/>
        <w:jc w:val="left"/>
        <w:rPr>
          <w:noProof/>
        </w:rPr>
      </w:pPr>
      <w:r w:rsidRPr="00B51040">
        <w:rPr>
          <w:noProof/>
        </w:rPr>
        <w:t xml:space="preserve">March, J. G. and Z. Shapira (1992). 'Variable risk preferences and the focus of attention', </w:t>
      </w:r>
      <w:r w:rsidRPr="00B51040">
        <w:rPr>
          <w:i/>
          <w:noProof/>
        </w:rPr>
        <w:t>Psychological Review,</w:t>
      </w:r>
      <w:r w:rsidRPr="00B51040">
        <w:rPr>
          <w:noProof/>
        </w:rPr>
        <w:t xml:space="preserve"> </w:t>
      </w:r>
      <w:r w:rsidRPr="00B51040">
        <w:rPr>
          <w:b/>
          <w:noProof/>
        </w:rPr>
        <w:t xml:space="preserve">99, </w:t>
      </w:r>
      <w:r w:rsidRPr="00B51040">
        <w:rPr>
          <w:noProof/>
        </w:rPr>
        <w:t>pp. 172-183.</w:t>
      </w:r>
    </w:p>
    <w:p w14:paraId="45E2AD21" w14:textId="77777777" w:rsidR="00EC7E61" w:rsidRPr="00B51040" w:rsidRDefault="00EC7E61" w:rsidP="00EC7E61">
      <w:pPr>
        <w:pStyle w:val="EndNoteBibliography"/>
        <w:ind w:left="720" w:hanging="720"/>
        <w:jc w:val="left"/>
        <w:rPr>
          <w:noProof/>
        </w:rPr>
      </w:pPr>
      <w:r w:rsidRPr="00B51040">
        <w:rPr>
          <w:noProof/>
        </w:rPr>
        <w:t xml:space="preserve">Massini, S., A. Y. Lewin and H. R. Greve (2005). 'Innovators and imitators: Organizational reference groups and adoption of organizational routines', </w:t>
      </w:r>
      <w:r w:rsidRPr="00B51040">
        <w:rPr>
          <w:i/>
          <w:noProof/>
        </w:rPr>
        <w:t>Research Policy,</w:t>
      </w:r>
      <w:r w:rsidRPr="00B51040">
        <w:rPr>
          <w:noProof/>
        </w:rPr>
        <w:t xml:space="preserve"> </w:t>
      </w:r>
      <w:r w:rsidRPr="00B51040">
        <w:rPr>
          <w:b/>
          <w:noProof/>
        </w:rPr>
        <w:t xml:space="preserve">34, </w:t>
      </w:r>
      <w:r w:rsidRPr="00B51040">
        <w:rPr>
          <w:noProof/>
        </w:rPr>
        <w:t>pp. 1550-1569.</w:t>
      </w:r>
    </w:p>
    <w:p w14:paraId="2418AD85" w14:textId="77777777" w:rsidR="00EC7E61" w:rsidRPr="00B51040" w:rsidRDefault="00EC7E61" w:rsidP="00EC7E61">
      <w:pPr>
        <w:pStyle w:val="EndNoteBibliography"/>
        <w:ind w:left="720" w:hanging="720"/>
        <w:jc w:val="left"/>
        <w:rPr>
          <w:noProof/>
        </w:rPr>
      </w:pPr>
      <w:r w:rsidRPr="00B51040">
        <w:rPr>
          <w:noProof/>
        </w:rPr>
        <w:t xml:space="preserve">McGee, J. and H. Thomas (1986). 'Strategic groups: Theory, research and taxonomy', </w:t>
      </w:r>
      <w:r w:rsidRPr="00B51040">
        <w:rPr>
          <w:i/>
          <w:noProof/>
        </w:rPr>
        <w:t>Strategic Management Journal,</w:t>
      </w:r>
      <w:r w:rsidRPr="00B51040">
        <w:rPr>
          <w:noProof/>
        </w:rPr>
        <w:t xml:space="preserve"> </w:t>
      </w:r>
      <w:r w:rsidRPr="00B51040">
        <w:rPr>
          <w:b/>
          <w:noProof/>
        </w:rPr>
        <w:t xml:space="preserve">7, </w:t>
      </w:r>
      <w:r w:rsidRPr="00B51040">
        <w:rPr>
          <w:noProof/>
        </w:rPr>
        <w:t>pp. 141-160.</w:t>
      </w:r>
    </w:p>
    <w:p w14:paraId="61C59BAF" w14:textId="77777777" w:rsidR="00EC7E61" w:rsidRPr="00B51040" w:rsidRDefault="00EC7E61" w:rsidP="00EC7E61">
      <w:pPr>
        <w:pStyle w:val="EndNoteBibliography"/>
        <w:ind w:left="720" w:hanging="720"/>
        <w:jc w:val="left"/>
        <w:rPr>
          <w:noProof/>
        </w:rPr>
      </w:pPr>
      <w:r w:rsidRPr="00B51040">
        <w:rPr>
          <w:noProof/>
        </w:rPr>
        <w:t xml:space="preserve">Miner, A. S. and S. J. Mezias (1996). 'Ugly duckling no more: Pasts and futures of organizational learning research', </w:t>
      </w:r>
      <w:r w:rsidRPr="00B51040">
        <w:rPr>
          <w:i/>
          <w:noProof/>
        </w:rPr>
        <w:t>Organization Science,</w:t>
      </w:r>
      <w:r w:rsidRPr="00B51040">
        <w:rPr>
          <w:noProof/>
        </w:rPr>
        <w:t xml:space="preserve"> </w:t>
      </w:r>
      <w:r w:rsidRPr="00B51040">
        <w:rPr>
          <w:b/>
          <w:noProof/>
        </w:rPr>
        <w:t xml:space="preserve">7, </w:t>
      </w:r>
      <w:r w:rsidRPr="00B51040">
        <w:rPr>
          <w:noProof/>
        </w:rPr>
        <w:t>pp. 88-99.</w:t>
      </w:r>
    </w:p>
    <w:p w14:paraId="74F276A4" w14:textId="77777777" w:rsidR="00EC7E61" w:rsidRPr="00B51040" w:rsidRDefault="00EC7E61" w:rsidP="00EC7E61">
      <w:pPr>
        <w:pStyle w:val="EndNoteBibliography"/>
        <w:ind w:left="720" w:hanging="720"/>
        <w:jc w:val="left"/>
        <w:rPr>
          <w:noProof/>
        </w:rPr>
      </w:pPr>
      <w:r w:rsidRPr="00B51040">
        <w:rPr>
          <w:noProof/>
        </w:rPr>
        <w:t xml:space="preserve">Mishina, Y., B. J. Dykes, E. S. Block and T. G. Pollock (2010). 'Why “good” firms do bad things: The effects of high aspirations, high expectations, and prominence on the incidence of corporate illegality.', </w:t>
      </w:r>
      <w:r w:rsidRPr="00B51040">
        <w:rPr>
          <w:i/>
          <w:noProof/>
        </w:rPr>
        <w:t>Academy of Management Journal,</w:t>
      </w:r>
      <w:r w:rsidRPr="00B51040">
        <w:rPr>
          <w:noProof/>
        </w:rPr>
        <w:t xml:space="preserve"> </w:t>
      </w:r>
      <w:r w:rsidRPr="00B51040">
        <w:rPr>
          <w:b/>
          <w:noProof/>
        </w:rPr>
        <w:t xml:space="preserve">53, </w:t>
      </w:r>
      <w:r w:rsidRPr="00B51040">
        <w:rPr>
          <w:noProof/>
        </w:rPr>
        <w:t>pp. 701-722.</w:t>
      </w:r>
    </w:p>
    <w:p w14:paraId="14BE6B44" w14:textId="77777777" w:rsidR="00EC7E61" w:rsidRPr="00B51040" w:rsidRDefault="00EC7E61" w:rsidP="00EC7E61">
      <w:pPr>
        <w:pStyle w:val="EndNoteBibliography"/>
        <w:ind w:left="720" w:hanging="720"/>
        <w:jc w:val="left"/>
        <w:rPr>
          <w:noProof/>
        </w:rPr>
      </w:pPr>
      <w:r w:rsidRPr="00B51040">
        <w:rPr>
          <w:noProof/>
        </w:rPr>
        <w:t xml:space="preserve">Moliterno, T. P., N. Beck, C. M. Beckman and M. Meyer (2015). 'Knowing your place: Social performance feedback in good times and bad times', </w:t>
      </w:r>
      <w:r w:rsidRPr="00B51040">
        <w:rPr>
          <w:i/>
          <w:noProof/>
        </w:rPr>
        <w:t>Organization Science,</w:t>
      </w:r>
      <w:r w:rsidRPr="00B51040">
        <w:rPr>
          <w:noProof/>
        </w:rPr>
        <w:t xml:space="preserve"> </w:t>
      </w:r>
      <w:r w:rsidRPr="00B51040">
        <w:rPr>
          <w:b/>
          <w:noProof/>
        </w:rPr>
        <w:t xml:space="preserve">25, </w:t>
      </w:r>
      <w:r w:rsidRPr="00B51040">
        <w:rPr>
          <w:noProof/>
        </w:rPr>
        <w:t>pp. 1684-1702.</w:t>
      </w:r>
    </w:p>
    <w:p w14:paraId="6825C294" w14:textId="77777777" w:rsidR="00EC7E61" w:rsidRPr="00B51040" w:rsidRDefault="00EC7E61" w:rsidP="00EC7E61">
      <w:pPr>
        <w:pStyle w:val="EndNoteBibliography"/>
        <w:ind w:left="720" w:hanging="720"/>
        <w:jc w:val="left"/>
        <w:rPr>
          <w:noProof/>
        </w:rPr>
      </w:pPr>
      <w:r w:rsidRPr="00B51040">
        <w:rPr>
          <w:noProof/>
        </w:rPr>
        <w:t xml:space="preserve">Nason, R. S., S. Bacq and D. Gras (2018). 'A behavioral theory of social performance: Social identity and stakeholder expectations', </w:t>
      </w:r>
      <w:r w:rsidRPr="00B51040">
        <w:rPr>
          <w:i/>
          <w:noProof/>
        </w:rPr>
        <w:t>Academy of Management Review,</w:t>
      </w:r>
      <w:r w:rsidRPr="00B51040">
        <w:rPr>
          <w:noProof/>
        </w:rPr>
        <w:t xml:space="preserve"> </w:t>
      </w:r>
      <w:r w:rsidRPr="00B51040">
        <w:rPr>
          <w:b/>
          <w:noProof/>
        </w:rPr>
        <w:t xml:space="preserve">43, </w:t>
      </w:r>
      <w:r w:rsidRPr="00B51040">
        <w:rPr>
          <w:noProof/>
        </w:rPr>
        <w:t>pp. 259-283.</w:t>
      </w:r>
    </w:p>
    <w:p w14:paraId="0BA68E6C" w14:textId="77777777" w:rsidR="00EC7E61" w:rsidRPr="00B51040" w:rsidRDefault="00EC7E61" w:rsidP="00EC7E61">
      <w:pPr>
        <w:pStyle w:val="EndNoteBibliography"/>
        <w:ind w:left="720" w:hanging="720"/>
        <w:jc w:val="left"/>
        <w:rPr>
          <w:noProof/>
        </w:rPr>
      </w:pPr>
      <w:r w:rsidRPr="00B51040">
        <w:rPr>
          <w:noProof/>
        </w:rPr>
        <w:t>Nevmerzhytskyi, S. (2021). The silence of the slacked: The negative side effect of slack on problemistic search. Ivey Business School, Western University.</w:t>
      </w:r>
    </w:p>
    <w:p w14:paraId="0FB272DE" w14:textId="77777777" w:rsidR="00EC7E61" w:rsidRPr="00B51040" w:rsidRDefault="00EC7E61" w:rsidP="00EC7E61">
      <w:pPr>
        <w:pStyle w:val="EndNoteBibliography"/>
        <w:ind w:left="720" w:hanging="720"/>
        <w:jc w:val="left"/>
        <w:rPr>
          <w:noProof/>
        </w:rPr>
      </w:pPr>
      <w:r w:rsidRPr="00B51040">
        <w:rPr>
          <w:noProof/>
        </w:rPr>
        <w:t xml:space="preserve">Nohria, N. and R. Gulati (1996). 'Is slack good or bad for innovation?', </w:t>
      </w:r>
      <w:r w:rsidRPr="00B51040">
        <w:rPr>
          <w:i/>
          <w:noProof/>
        </w:rPr>
        <w:t>Academy of Management Journal,</w:t>
      </w:r>
      <w:r w:rsidRPr="00B51040">
        <w:rPr>
          <w:noProof/>
        </w:rPr>
        <w:t xml:space="preserve"> </w:t>
      </w:r>
      <w:r w:rsidRPr="00B51040">
        <w:rPr>
          <w:b/>
          <w:noProof/>
        </w:rPr>
        <w:t xml:space="preserve">39, </w:t>
      </w:r>
      <w:r w:rsidRPr="00B51040">
        <w:rPr>
          <w:noProof/>
        </w:rPr>
        <w:t>pp. 1245-1264.</w:t>
      </w:r>
    </w:p>
    <w:p w14:paraId="4BED79E0" w14:textId="77777777" w:rsidR="00EC7E61" w:rsidRPr="00B51040" w:rsidRDefault="00EC7E61" w:rsidP="00EC7E61">
      <w:pPr>
        <w:pStyle w:val="EndNoteBibliography"/>
        <w:ind w:left="720" w:hanging="720"/>
        <w:jc w:val="left"/>
        <w:rPr>
          <w:noProof/>
        </w:rPr>
      </w:pPr>
      <w:r w:rsidRPr="00B51040">
        <w:rPr>
          <w:noProof/>
        </w:rPr>
        <w:t xml:space="preserve">O'Brien, J. P. and P. David (2014). 'Reciprocity and R&amp;D search: Applying the behavioral theory of the firm to a communitarian context', </w:t>
      </w:r>
      <w:r w:rsidRPr="00B51040">
        <w:rPr>
          <w:i/>
          <w:noProof/>
        </w:rPr>
        <w:t>Strategic Management Journal,</w:t>
      </w:r>
      <w:r w:rsidRPr="00B51040">
        <w:rPr>
          <w:noProof/>
        </w:rPr>
        <w:t xml:space="preserve"> </w:t>
      </w:r>
      <w:r w:rsidRPr="00B51040">
        <w:rPr>
          <w:b/>
          <w:noProof/>
        </w:rPr>
        <w:t xml:space="preserve">35, </w:t>
      </w:r>
      <w:r w:rsidRPr="00B51040">
        <w:rPr>
          <w:noProof/>
        </w:rPr>
        <w:t>pp. 550-565.</w:t>
      </w:r>
    </w:p>
    <w:p w14:paraId="70696E4C" w14:textId="77777777" w:rsidR="00EC7E61" w:rsidRPr="00B51040" w:rsidRDefault="00EC7E61" w:rsidP="00EC7E61">
      <w:pPr>
        <w:pStyle w:val="EndNoteBibliography"/>
        <w:ind w:left="720" w:hanging="720"/>
        <w:jc w:val="left"/>
        <w:rPr>
          <w:noProof/>
        </w:rPr>
      </w:pPr>
      <w:r w:rsidRPr="00612C49">
        <w:rPr>
          <w:noProof/>
          <w:lang w:val="de-DE"/>
        </w:rPr>
        <w:t xml:space="preserve">Oehler, P. J., J. Stumpf-Wollersheim and I. M. Welpe (2018). </w:t>
      </w:r>
      <w:r w:rsidRPr="00B51040">
        <w:rPr>
          <w:noProof/>
        </w:rPr>
        <w:t xml:space="preserve">'Never change a winning routine? How performance feedback affects routine change', </w:t>
      </w:r>
      <w:r w:rsidRPr="00B51040">
        <w:rPr>
          <w:i/>
          <w:noProof/>
        </w:rPr>
        <w:t>Industrial and Corporate Change</w:t>
      </w:r>
      <w:r w:rsidRPr="00B51040">
        <w:rPr>
          <w:noProof/>
        </w:rPr>
        <w:t>.</w:t>
      </w:r>
    </w:p>
    <w:p w14:paraId="17B95758" w14:textId="77777777" w:rsidR="00EC7E61" w:rsidRPr="00B51040" w:rsidRDefault="00EC7E61" w:rsidP="00EC7E61">
      <w:pPr>
        <w:pStyle w:val="EndNoteBibliography"/>
        <w:ind w:left="720" w:hanging="720"/>
        <w:jc w:val="left"/>
        <w:rPr>
          <w:noProof/>
        </w:rPr>
      </w:pPr>
      <w:r w:rsidRPr="00B51040">
        <w:rPr>
          <w:noProof/>
        </w:rPr>
        <w:t xml:space="preserve">Panagiotou, G. (2007). 'Reference theory: strategic groups and competitive benchmarking', </w:t>
      </w:r>
      <w:r w:rsidRPr="00B51040">
        <w:rPr>
          <w:i/>
          <w:noProof/>
        </w:rPr>
        <w:t>Management Decision,</w:t>
      </w:r>
      <w:r w:rsidRPr="00B51040">
        <w:rPr>
          <w:noProof/>
        </w:rPr>
        <w:t xml:space="preserve"> </w:t>
      </w:r>
      <w:r w:rsidRPr="00B51040">
        <w:rPr>
          <w:b/>
          <w:noProof/>
        </w:rPr>
        <w:t xml:space="preserve">45, </w:t>
      </w:r>
      <w:r w:rsidRPr="00B51040">
        <w:rPr>
          <w:noProof/>
        </w:rPr>
        <w:t>pp. 1595-1621.</w:t>
      </w:r>
    </w:p>
    <w:p w14:paraId="3C5876A7" w14:textId="77777777" w:rsidR="00EC7E61" w:rsidRPr="00B51040" w:rsidRDefault="00EC7E61" w:rsidP="00EC7E61">
      <w:pPr>
        <w:pStyle w:val="EndNoteBibliography"/>
        <w:ind w:left="720" w:hanging="720"/>
        <w:jc w:val="left"/>
        <w:rPr>
          <w:noProof/>
        </w:rPr>
      </w:pPr>
      <w:r w:rsidRPr="00B51040">
        <w:rPr>
          <w:noProof/>
        </w:rPr>
        <w:t xml:space="preserve">Park, K. M. (2007). 'Antecedents of convergence and divergence in strategic positioning: The effects of performance and aspiration on the direction of strategic change', </w:t>
      </w:r>
      <w:r w:rsidRPr="00B51040">
        <w:rPr>
          <w:i/>
          <w:noProof/>
        </w:rPr>
        <w:t>Organization Science,</w:t>
      </w:r>
      <w:r w:rsidRPr="00B51040">
        <w:rPr>
          <w:noProof/>
        </w:rPr>
        <w:t xml:space="preserve"> </w:t>
      </w:r>
      <w:r w:rsidRPr="00B51040">
        <w:rPr>
          <w:b/>
          <w:noProof/>
        </w:rPr>
        <w:t xml:space="preserve">18, </w:t>
      </w:r>
      <w:r w:rsidRPr="00B51040">
        <w:rPr>
          <w:noProof/>
        </w:rPr>
        <w:t>pp. 386-402.</w:t>
      </w:r>
    </w:p>
    <w:p w14:paraId="28CCBA8A" w14:textId="77777777" w:rsidR="00EC7E61" w:rsidRPr="00B51040" w:rsidRDefault="00EC7E61" w:rsidP="00EC7E61">
      <w:pPr>
        <w:pStyle w:val="EndNoteBibliography"/>
        <w:ind w:left="720" w:hanging="720"/>
        <w:jc w:val="left"/>
        <w:rPr>
          <w:noProof/>
        </w:rPr>
      </w:pPr>
      <w:r w:rsidRPr="00B51040">
        <w:rPr>
          <w:noProof/>
        </w:rPr>
        <w:t xml:space="preserve">Parker, O. N., R. Krause and J. G. Covin (2017). 'Ready, set, slow: How aspiration-relative product quality impacts the rate of new product introduction', </w:t>
      </w:r>
      <w:r w:rsidRPr="00B51040">
        <w:rPr>
          <w:i/>
          <w:noProof/>
        </w:rPr>
        <w:t>Journal of Management,</w:t>
      </w:r>
      <w:r w:rsidRPr="00B51040">
        <w:rPr>
          <w:noProof/>
        </w:rPr>
        <w:t xml:space="preserve"> </w:t>
      </w:r>
      <w:r w:rsidRPr="00B51040">
        <w:rPr>
          <w:b/>
          <w:noProof/>
        </w:rPr>
        <w:t xml:space="preserve">43, </w:t>
      </w:r>
      <w:r w:rsidRPr="00B51040">
        <w:rPr>
          <w:noProof/>
        </w:rPr>
        <w:t>pp. 2333-2356.</w:t>
      </w:r>
    </w:p>
    <w:p w14:paraId="511CF9C1" w14:textId="77777777" w:rsidR="00EC7E61" w:rsidRPr="00B51040" w:rsidRDefault="00EC7E61" w:rsidP="00EC7E61">
      <w:pPr>
        <w:pStyle w:val="EndNoteBibliography"/>
        <w:ind w:left="720" w:hanging="720"/>
        <w:jc w:val="left"/>
        <w:rPr>
          <w:noProof/>
        </w:rPr>
      </w:pPr>
      <w:r w:rsidRPr="00B51040">
        <w:rPr>
          <w:noProof/>
        </w:rPr>
        <w:t xml:space="preserve">Peteraf, M. and M. Shanley (1997). 'Getting to know you: A theory of strategic group identity', </w:t>
      </w:r>
      <w:r w:rsidRPr="00B51040">
        <w:rPr>
          <w:i/>
          <w:noProof/>
        </w:rPr>
        <w:t>Strategic Management Journal,</w:t>
      </w:r>
      <w:r w:rsidRPr="00B51040">
        <w:rPr>
          <w:noProof/>
        </w:rPr>
        <w:t xml:space="preserve"> </w:t>
      </w:r>
      <w:r w:rsidRPr="00B51040">
        <w:rPr>
          <w:b/>
          <w:noProof/>
        </w:rPr>
        <w:t xml:space="preserve">18, </w:t>
      </w:r>
      <w:r w:rsidRPr="00B51040">
        <w:rPr>
          <w:noProof/>
        </w:rPr>
        <w:t>pp. 165-186.</w:t>
      </w:r>
    </w:p>
    <w:p w14:paraId="5FA62EBD" w14:textId="77777777" w:rsidR="00EC7E61" w:rsidRPr="00B51040" w:rsidRDefault="00EC7E61" w:rsidP="00EC7E61">
      <w:pPr>
        <w:pStyle w:val="EndNoteBibliography"/>
        <w:ind w:left="720" w:hanging="720"/>
        <w:jc w:val="left"/>
        <w:rPr>
          <w:noProof/>
        </w:rPr>
      </w:pPr>
      <w:r w:rsidRPr="00B51040">
        <w:rPr>
          <w:noProof/>
        </w:rPr>
        <w:t xml:space="preserve">Porac, J. F., H. Thomas and C. Baden‐Fuller (1989). 'Competitive groups as cognitive communities: The case of Scottish knitwear manufacturers', </w:t>
      </w:r>
      <w:r w:rsidRPr="00B51040">
        <w:rPr>
          <w:i/>
          <w:noProof/>
        </w:rPr>
        <w:t>Journal of Management Studies,</w:t>
      </w:r>
      <w:r w:rsidRPr="00B51040">
        <w:rPr>
          <w:noProof/>
        </w:rPr>
        <w:t xml:space="preserve"> </w:t>
      </w:r>
      <w:r w:rsidRPr="00B51040">
        <w:rPr>
          <w:b/>
          <w:noProof/>
        </w:rPr>
        <w:t xml:space="preserve">26, </w:t>
      </w:r>
      <w:r w:rsidRPr="00B51040">
        <w:rPr>
          <w:noProof/>
        </w:rPr>
        <w:t>pp. 397-416.</w:t>
      </w:r>
    </w:p>
    <w:p w14:paraId="055BE966" w14:textId="77777777" w:rsidR="00EC7E61" w:rsidRPr="00B51040" w:rsidRDefault="00EC7E61" w:rsidP="00EC7E61">
      <w:pPr>
        <w:pStyle w:val="EndNoteBibliography"/>
        <w:ind w:left="720" w:hanging="720"/>
        <w:jc w:val="left"/>
        <w:rPr>
          <w:noProof/>
        </w:rPr>
      </w:pPr>
      <w:r w:rsidRPr="00B51040">
        <w:rPr>
          <w:noProof/>
        </w:rPr>
        <w:t xml:space="preserve">Porter, M. E. (1991). 'Towards a dynamic theory of strategy', </w:t>
      </w:r>
      <w:r w:rsidRPr="00B51040">
        <w:rPr>
          <w:i/>
          <w:noProof/>
        </w:rPr>
        <w:t>Strategic Management Journal,</w:t>
      </w:r>
      <w:r w:rsidRPr="00B51040">
        <w:rPr>
          <w:noProof/>
        </w:rPr>
        <w:t xml:space="preserve"> </w:t>
      </w:r>
      <w:r w:rsidRPr="00B51040">
        <w:rPr>
          <w:b/>
          <w:noProof/>
        </w:rPr>
        <w:t xml:space="preserve">12, </w:t>
      </w:r>
      <w:r w:rsidRPr="00B51040">
        <w:rPr>
          <w:noProof/>
        </w:rPr>
        <w:t>pp. 95-117.</w:t>
      </w:r>
    </w:p>
    <w:p w14:paraId="32158E46" w14:textId="77777777" w:rsidR="00EC7E61" w:rsidRPr="00B51040" w:rsidRDefault="00EC7E61" w:rsidP="00EC7E61">
      <w:pPr>
        <w:pStyle w:val="EndNoteBibliography"/>
        <w:ind w:left="720" w:hanging="720"/>
        <w:jc w:val="left"/>
        <w:rPr>
          <w:noProof/>
        </w:rPr>
      </w:pPr>
      <w:r w:rsidRPr="00B51040">
        <w:rPr>
          <w:noProof/>
        </w:rPr>
        <w:lastRenderedPageBreak/>
        <w:t xml:space="preserve">Porter, M. E. (1996). 'What is strategy?', </w:t>
      </w:r>
      <w:r w:rsidRPr="00B51040">
        <w:rPr>
          <w:i/>
          <w:noProof/>
        </w:rPr>
        <w:t>Harvard Business Review,</w:t>
      </w:r>
      <w:r w:rsidRPr="00B51040">
        <w:rPr>
          <w:noProof/>
        </w:rPr>
        <w:t xml:space="preserve"> </w:t>
      </w:r>
      <w:r w:rsidRPr="00B51040">
        <w:rPr>
          <w:b/>
          <w:noProof/>
        </w:rPr>
        <w:t xml:space="preserve">74, </w:t>
      </w:r>
      <w:r w:rsidRPr="00B51040">
        <w:rPr>
          <w:noProof/>
        </w:rPr>
        <w:t>pp. 61-78.</w:t>
      </w:r>
    </w:p>
    <w:p w14:paraId="7FFFF150" w14:textId="77777777" w:rsidR="00EC7E61" w:rsidRPr="00B51040" w:rsidRDefault="00EC7E61" w:rsidP="00EC7E61">
      <w:pPr>
        <w:pStyle w:val="EndNoteBibliography"/>
        <w:ind w:left="720" w:hanging="720"/>
        <w:jc w:val="left"/>
        <w:rPr>
          <w:noProof/>
        </w:rPr>
      </w:pPr>
      <w:r w:rsidRPr="00612C49">
        <w:rPr>
          <w:noProof/>
          <w:lang w:val="de-DE"/>
        </w:rPr>
        <w:t xml:space="preserve">Posen, H. E., T. Keil, S. Kim and F. Meissner (2018). </w:t>
      </w:r>
      <w:r w:rsidRPr="00B51040">
        <w:rPr>
          <w:noProof/>
        </w:rPr>
        <w:t xml:space="preserve">'Renewing research on problemistic search - A review and research agenda', </w:t>
      </w:r>
      <w:r w:rsidRPr="00B51040">
        <w:rPr>
          <w:i/>
          <w:noProof/>
        </w:rPr>
        <w:t>Academy of Management Annals,</w:t>
      </w:r>
      <w:r w:rsidRPr="00B51040">
        <w:rPr>
          <w:noProof/>
        </w:rPr>
        <w:t xml:space="preserve"> </w:t>
      </w:r>
      <w:r w:rsidRPr="00B51040">
        <w:rPr>
          <w:b/>
          <w:noProof/>
        </w:rPr>
        <w:t xml:space="preserve">12, </w:t>
      </w:r>
      <w:r w:rsidRPr="00B51040">
        <w:rPr>
          <w:noProof/>
        </w:rPr>
        <w:t>pp. 208-251.</w:t>
      </w:r>
    </w:p>
    <w:p w14:paraId="18D97AC2" w14:textId="77777777" w:rsidR="00EC7E61" w:rsidRPr="00B51040" w:rsidRDefault="00EC7E61" w:rsidP="00EC7E61">
      <w:pPr>
        <w:pStyle w:val="EndNoteBibliography"/>
        <w:ind w:left="720" w:hanging="720"/>
        <w:jc w:val="left"/>
        <w:rPr>
          <w:noProof/>
        </w:rPr>
      </w:pPr>
      <w:r w:rsidRPr="00B51040">
        <w:rPr>
          <w:noProof/>
        </w:rPr>
        <w:t xml:space="preserve">Powell, T. C., D. Lovallo and C. R. Fox (2011). 'Behavioral strategy', </w:t>
      </w:r>
      <w:r w:rsidRPr="00B51040">
        <w:rPr>
          <w:i/>
          <w:noProof/>
        </w:rPr>
        <w:t>Strategic Management Journal,</w:t>
      </w:r>
      <w:r w:rsidRPr="00B51040">
        <w:rPr>
          <w:noProof/>
        </w:rPr>
        <w:t xml:space="preserve"> </w:t>
      </w:r>
      <w:r w:rsidRPr="00B51040">
        <w:rPr>
          <w:b/>
          <w:noProof/>
        </w:rPr>
        <w:t xml:space="preserve">32, </w:t>
      </w:r>
      <w:r w:rsidRPr="00B51040">
        <w:rPr>
          <w:noProof/>
        </w:rPr>
        <w:t>pp. 1369-1386.</w:t>
      </w:r>
    </w:p>
    <w:p w14:paraId="6A471F25" w14:textId="77777777" w:rsidR="00EC7E61" w:rsidRPr="00B51040" w:rsidRDefault="00EC7E61" w:rsidP="00EC7E61">
      <w:pPr>
        <w:pStyle w:val="EndNoteBibliography"/>
        <w:ind w:left="720" w:hanging="720"/>
        <w:jc w:val="left"/>
        <w:rPr>
          <w:noProof/>
        </w:rPr>
      </w:pPr>
      <w:r w:rsidRPr="00B51040">
        <w:rPr>
          <w:noProof/>
        </w:rPr>
        <w:t xml:space="preserve">Pryor, L. S. (1989). 'Benchmarking: A self-improvement strategy', </w:t>
      </w:r>
      <w:r w:rsidRPr="00B51040">
        <w:rPr>
          <w:i/>
          <w:noProof/>
        </w:rPr>
        <w:t>The Journal of Business Strategy,</w:t>
      </w:r>
      <w:r w:rsidRPr="00B51040">
        <w:rPr>
          <w:noProof/>
        </w:rPr>
        <w:t xml:space="preserve"> </w:t>
      </w:r>
      <w:r w:rsidRPr="00B51040">
        <w:rPr>
          <w:b/>
          <w:noProof/>
        </w:rPr>
        <w:t xml:space="preserve">10, </w:t>
      </w:r>
      <w:r w:rsidRPr="00B51040">
        <w:rPr>
          <w:noProof/>
        </w:rPr>
        <w:t>p. 28.</w:t>
      </w:r>
    </w:p>
    <w:p w14:paraId="4582B0E6" w14:textId="77777777" w:rsidR="00EC7E61" w:rsidRPr="00B51040" w:rsidRDefault="00EC7E61" w:rsidP="00EC7E61">
      <w:pPr>
        <w:pStyle w:val="EndNoteBibliography"/>
        <w:ind w:left="720" w:hanging="720"/>
        <w:jc w:val="left"/>
        <w:rPr>
          <w:noProof/>
        </w:rPr>
      </w:pPr>
      <w:r w:rsidRPr="00B51040">
        <w:rPr>
          <w:noProof/>
        </w:rPr>
        <w:t xml:space="preserve">Ref, O. and Z. Shapira (2017). 'Entering new markets: The effect of performance feedback near aspiration and well below and above it', </w:t>
      </w:r>
      <w:r w:rsidRPr="00B51040">
        <w:rPr>
          <w:i/>
          <w:noProof/>
        </w:rPr>
        <w:t>Strategic Management Journal,</w:t>
      </w:r>
      <w:r w:rsidRPr="00B51040">
        <w:rPr>
          <w:noProof/>
        </w:rPr>
        <w:t xml:space="preserve"> </w:t>
      </w:r>
      <w:r w:rsidRPr="00B51040">
        <w:rPr>
          <w:b/>
          <w:noProof/>
        </w:rPr>
        <w:t xml:space="preserve">38, </w:t>
      </w:r>
      <w:r w:rsidRPr="00B51040">
        <w:rPr>
          <w:noProof/>
        </w:rPr>
        <w:t>pp. 1416-1434.</w:t>
      </w:r>
    </w:p>
    <w:p w14:paraId="41C934F5" w14:textId="77777777" w:rsidR="00EC7E61" w:rsidRPr="00B51040" w:rsidRDefault="00EC7E61" w:rsidP="00EC7E61">
      <w:pPr>
        <w:pStyle w:val="EndNoteBibliography"/>
        <w:ind w:left="720" w:hanging="720"/>
        <w:jc w:val="left"/>
        <w:rPr>
          <w:noProof/>
        </w:rPr>
      </w:pPr>
      <w:r w:rsidRPr="00B51040">
        <w:rPr>
          <w:noProof/>
        </w:rPr>
        <w:t xml:space="preserve">Reger, R. K. and A. S. Huff (1993). 'Strategic groups: A cognitive perspective', </w:t>
      </w:r>
      <w:r w:rsidRPr="00B51040">
        <w:rPr>
          <w:i/>
          <w:noProof/>
        </w:rPr>
        <w:t>Strategic Management Journal,</w:t>
      </w:r>
      <w:r w:rsidRPr="00B51040">
        <w:rPr>
          <w:noProof/>
        </w:rPr>
        <w:t xml:space="preserve"> </w:t>
      </w:r>
      <w:r w:rsidRPr="00B51040">
        <w:rPr>
          <w:b/>
          <w:noProof/>
        </w:rPr>
        <w:t xml:space="preserve">14, </w:t>
      </w:r>
      <w:r w:rsidRPr="00B51040">
        <w:rPr>
          <w:noProof/>
        </w:rPr>
        <w:t>pp. 103-123.</w:t>
      </w:r>
    </w:p>
    <w:p w14:paraId="5F0166D4" w14:textId="77777777" w:rsidR="00EC7E61" w:rsidRPr="00B51040" w:rsidRDefault="00EC7E61" w:rsidP="00EC7E61">
      <w:pPr>
        <w:pStyle w:val="EndNoteBibliography"/>
        <w:ind w:left="720" w:hanging="720"/>
        <w:jc w:val="left"/>
        <w:rPr>
          <w:noProof/>
        </w:rPr>
      </w:pPr>
      <w:r w:rsidRPr="00B51040">
        <w:rPr>
          <w:noProof/>
        </w:rPr>
        <w:t xml:space="preserve">Rhee, L., W. Ocasio and T. Kim (2019). 'Performance feedback in hierarchical business groups: The cross-level effects of cognitive accessibility on R&amp;D search behavior', </w:t>
      </w:r>
      <w:r w:rsidRPr="00B51040">
        <w:rPr>
          <w:i/>
          <w:noProof/>
        </w:rPr>
        <w:t>Organization Science,</w:t>
      </w:r>
      <w:r w:rsidRPr="00B51040">
        <w:rPr>
          <w:noProof/>
        </w:rPr>
        <w:t xml:space="preserve"> </w:t>
      </w:r>
      <w:r w:rsidRPr="00B51040">
        <w:rPr>
          <w:b/>
          <w:noProof/>
        </w:rPr>
        <w:t xml:space="preserve">30, </w:t>
      </w:r>
      <w:r w:rsidRPr="00B51040">
        <w:rPr>
          <w:noProof/>
        </w:rPr>
        <w:t>pp. 51-69.</w:t>
      </w:r>
    </w:p>
    <w:p w14:paraId="53D2CC53" w14:textId="77777777" w:rsidR="00EC7E61" w:rsidRPr="00B51040" w:rsidRDefault="00EC7E61" w:rsidP="00EC7E61">
      <w:pPr>
        <w:pStyle w:val="EndNoteBibliography"/>
        <w:ind w:left="720" w:hanging="720"/>
        <w:jc w:val="left"/>
        <w:rPr>
          <w:noProof/>
        </w:rPr>
      </w:pPr>
      <w:r w:rsidRPr="00B51040">
        <w:rPr>
          <w:noProof/>
        </w:rPr>
        <w:t xml:space="preserve">Rosenthal, R. (1979). 'The "file drawer problem" and tolerance for null results', </w:t>
      </w:r>
      <w:r w:rsidRPr="00B51040">
        <w:rPr>
          <w:i/>
          <w:noProof/>
        </w:rPr>
        <w:t>Psychological Bulletin,</w:t>
      </w:r>
      <w:r w:rsidRPr="00B51040">
        <w:rPr>
          <w:noProof/>
        </w:rPr>
        <w:t xml:space="preserve"> </w:t>
      </w:r>
      <w:r w:rsidRPr="00B51040">
        <w:rPr>
          <w:b/>
          <w:noProof/>
        </w:rPr>
        <w:t xml:space="preserve">86, </w:t>
      </w:r>
      <w:r w:rsidRPr="00B51040">
        <w:rPr>
          <w:noProof/>
        </w:rPr>
        <w:t>pp. 638-641.</w:t>
      </w:r>
    </w:p>
    <w:p w14:paraId="58F568EA" w14:textId="77777777" w:rsidR="00EC7E61" w:rsidRPr="00B51040" w:rsidRDefault="00EC7E61" w:rsidP="00EC7E61">
      <w:pPr>
        <w:pStyle w:val="EndNoteBibliography"/>
        <w:ind w:left="720" w:hanging="720"/>
        <w:jc w:val="left"/>
        <w:rPr>
          <w:noProof/>
        </w:rPr>
      </w:pPr>
      <w:r w:rsidRPr="00B51040">
        <w:rPr>
          <w:noProof/>
        </w:rPr>
        <w:t xml:space="preserve">Rosenthal, R. (1995). 'Writing meta-analytic reviews', </w:t>
      </w:r>
      <w:r w:rsidRPr="00B51040">
        <w:rPr>
          <w:i/>
          <w:noProof/>
        </w:rPr>
        <w:t>Psychological Bulletin,</w:t>
      </w:r>
      <w:r w:rsidRPr="00B51040">
        <w:rPr>
          <w:noProof/>
        </w:rPr>
        <w:t xml:space="preserve"> </w:t>
      </w:r>
      <w:r w:rsidRPr="00B51040">
        <w:rPr>
          <w:b/>
          <w:noProof/>
        </w:rPr>
        <w:t xml:space="preserve">118, </w:t>
      </w:r>
      <w:r w:rsidRPr="00B51040">
        <w:rPr>
          <w:noProof/>
        </w:rPr>
        <w:t>pp. 183-192.</w:t>
      </w:r>
    </w:p>
    <w:p w14:paraId="59C6ADE6" w14:textId="77777777" w:rsidR="00EC7E61" w:rsidRPr="00B51040" w:rsidRDefault="00EC7E61" w:rsidP="00EC7E61">
      <w:pPr>
        <w:pStyle w:val="EndNoteBibliography"/>
        <w:ind w:left="720" w:hanging="720"/>
        <w:jc w:val="left"/>
        <w:rPr>
          <w:noProof/>
        </w:rPr>
      </w:pPr>
      <w:r w:rsidRPr="00B51040">
        <w:rPr>
          <w:noProof/>
        </w:rPr>
        <w:t xml:space="preserve">Rostami, M. (2008). The joint effect of organizational performance and slack resources on corporate acquisitions in the oil industry. </w:t>
      </w:r>
      <w:r w:rsidRPr="00B51040">
        <w:rPr>
          <w:i/>
          <w:noProof/>
        </w:rPr>
        <w:t>Administrative Sciences Association of Canada.</w:t>
      </w:r>
      <w:r w:rsidRPr="00B51040">
        <w:rPr>
          <w:noProof/>
        </w:rPr>
        <w:t xml:space="preserve"> Halifax, Nova Scotia, Canada.</w:t>
      </w:r>
    </w:p>
    <w:p w14:paraId="360A490A" w14:textId="77777777" w:rsidR="00EC7E61" w:rsidRPr="00B51040" w:rsidRDefault="00EC7E61" w:rsidP="00EC7E61">
      <w:pPr>
        <w:pStyle w:val="EndNoteBibliography"/>
        <w:ind w:left="720" w:hanging="720"/>
        <w:jc w:val="left"/>
        <w:rPr>
          <w:noProof/>
        </w:rPr>
      </w:pPr>
      <w:r w:rsidRPr="00B51040">
        <w:rPr>
          <w:noProof/>
        </w:rPr>
        <w:t xml:space="preserve">Rowley, T. J., A. V. Shipilov and H. R. Greve (2017). 'Board reform versus profits: The impact of ratings on the adoption of governance practices', </w:t>
      </w:r>
      <w:r w:rsidRPr="00B51040">
        <w:rPr>
          <w:i/>
          <w:noProof/>
        </w:rPr>
        <w:t>Strategic Management Journal,</w:t>
      </w:r>
      <w:r w:rsidRPr="00B51040">
        <w:rPr>
          <w:noProof/>
        </w:rPr>
        <w:t xml:space="preserve"> </w:t>
      </w:r>
      <w:r w:rsidRPr="00B51040">
        <w:rPr>
          <w:b/>
          <w:noProof/>
        </w:rPr>
        <w:t xml:space="preserve">38, </w:t>
      </w:r>
      <w:r w:rsidRPr="00B51040">
        <w:rPr>
          <w:noProof/>
        </w:rPr>
        <w:t>pp. 815-833.</w:t>
      </w:r>
    </w:p>
    <w:p w14:paraId="43A0E178" w14:textId="77777777" w:rsidR="00EC7E61" w:rsidRPr="00B51040" w:rsidRDefault="00EC7E61" w:rsidP="00EC7E61">
      <w:pPr>
        <w:pStyle w:val="EndNoteBibliography"/>
        <w:ind w:left="720" w:hanging="720"/>
        <w:jc w:val="left"/>
        <w:rPr>
          <w:noProof/>
        </w:rPr>
      </w:pPr>
      <w:r w:rsidRPr="00B51040">
        <w:rPr>
          <w:noProof/>
        </w:rPr>
        <w:t xml:space="preserve">Rudy, B. C. and A. F. Johnson (2016). 'Performance, aspirations, and market versus nonmarket investment', </w:t>
      </w:r>
      <w:r w:rsidRPr="00B51040">
        <w:rPr>
          <w:i/>
          <w:noProof/>
        </w:rPr>
        <w:t>Journal of Management,</w:t>
      </w:r>
      <w:r w:rsidRPr="00B51040">
        <w:rPr>
          <w:noProof/>
        </w:rPr>
        <w:t xml:space="preserve"> </w:t>
      </w:r>
      <w:r w:rsidRPr="00B51040">
        <w:rPr>
          <w:b/>
          <w:noProof/>
        </w:rPr>
        <w:t xml:space="preserve">42, </w:t>
      </w:r>
      <w:r w:rsidRPr="00B51040">
        <w:rPr>
          <w:noProof/>
        </w:rPr>
        <w:t>pp. 936-959.</w:t>
      </w:r>
    </w:p>
    <w:p w14:paraId="0DF69476" w14:textId="77777777" w:rsidR="00EC7E61" w:rsidRPr="00B51040" w:rsidRDefault="00EC7E61" w:rsidP="00EC7E61">
      <w:pPr>
        <w:pStyle w:val="EndNoteBibliography"/>
        <w:ind w:left="720" w:hanging="720"/>
        <w:jc w:val="left"/>
        <w:rPr>
          <w:noProof/>
        </w:rPr>
      </w:pPr>
      <w:r w:rsidRPr="00B51040">
        <w:rPr>
          <w:noProof/>
        </w:rPr>
        <w:t xml:space="preserve">Saraf, N., S. Dasgupta and D. Blettner (2021). 'EXPRESS: How do managerial perceptions of performance feedback affect innovation?', </w:t>
      </w:r>
      <w:r w:rsidRPr="00B51040">
        <w:rPr>
          <w:i/>
          <w:noProof/>
        </w:rPr>
        <w:t>Strategic Organization</w:t>
      </w:r>
      <w:r w:rsidRPr="00B51040">
        <w:rPr>
          <w:noProof/>
        </w:rPr>
        <w:t>.</w:t>
      </w:r>
    </w:p>
    <w:p w14:paraId="47AA1A81" w14:textId="77777777" w:rsidR="00EC7E61" w:rsidRPr="00B51040" w:rsidRDefault="00EC7E61" w:rsidP="00EC7E61">
      <w:pPr>
        <w:pStyle w:val="EndNoteBibliography"/>
        <w:ind w:left="720" w:hanging="720"/>
        <w:jc w:val="left"/>
        <w:rPr>
          <w:noProof/>
        </w:rPr>
      </w:pPr>
      <w:r w:rsidRPr="00B51040">
        <w:rPr>
          <w:noProof/>
        </w:rPr>
        <w:t xml:space="preserve">Say, G. and G. Vasudeva (2020). 'Learning from Digital Failures? The Effectiveness of Firms’ Divestiture and Management Turnover Responses to Data Breaches', </w:t>
      </w:r>
      <w:r w:rsidRPr="00B51040">
        <w:rPr>
          <w:i/>
          <w:noProof/>
        </w:rPr>
        <w:t>Strategy Science,</w:t>
      </w:r>
      <w:r w:rsidRPr="00B51040">
        <w:rPr>
          <w:noProof/>
        </w:rPr>
        <w:t xml:space="preserve"> </w:t>
      </w:r>
      <w:r w:rsidRPr="00B51040">
        <w:rPr>
          <w:b/>
          <w:noProof/>
        </w:rPr>
        <w:t xml:space="preserve">5, </w:t>
      </w:r>
      <w:r w:rsidRPr="00B51040">
        <w:rPr>
          <w:noProof/>
        </w:rPr>
        <w:t>pp. 117-142.</w:t>
      </w:r>
    </w:p>
    <w:p w14:paraId="63C7A412" w14:textId="77777777" w:rsidR="00EC7E61" w:rsidRPr="00B51040" w:rsidRDefault="00EC7E61" w:rsidP="00EC7E61">
      <w:pPr>
        <w:pStyle w:val="EndNoteBibliography"/>
        <w:ind w:left="720" w:hanging="720"/>
        <w:jc w:val="left"/>
        <w:rPr>
          <w:noProof/>
        </w:rPr>
      </w:pPr>
      <w:r w:rsidRPr="00612C49">
        <w:rPr>
          <w:noProof/>
          <w:lang w:val="de-DE"/>
        </w:rPr>
        <w:t xml:space="preserve">Schimmer, M. and M. Brauer (2012). </w:t>
      </w:r>
      <w:r w:rsidRPr="00B51040">
        <w:rPr>
          <w:noProof/>
        </w:rPr>
        <w:t xml:space="preserve">'Firm performance and aspiration levels as determinants of a firm's strategic repositioning within strategic group structures', </w:t>
      </w:r>
      <w:r w:rsidRPr="00B51040">
        <w:rPr>
          <w:i/>
          <w:noProof/>
        </w:rPr>
        <w:t>Strategic Organization,</w:t>
      </w:r>
      <w:r w:rsidRPr="00B51040">
        <w:rPr>
          <w:noProof/>
        </w:rPr>
        <w:t xml:space="preserve"> </w:t>
      </w:r>
      <w:r w:rsidRPr="00B51040">
        <w:rPr>
          <w:b/>
          <w:noProof/>
        </w:rPr>
        <w:t xml:space="preserve">10, </w:t>
      </w:r>
      <w:r w:rsidRPr="00B51040">
        <w:rPr>
          <w:noProof/>
        </w:rPr>
        <w:t>pp. 406-435.</w:t>
      </w:r>
    </w:p>
    <w:p w14:paraId="7CEE453D" w14:textId="77777777" w:rsidR="00EC7E61" w:rsidRPr="00B51040" w:rsidRDefault="00EC7E61" w:rsidP="00EC7E61">
      <w:pPr>
        <w:pStyle w:val="EndNoteBibliography"/>
        <w:ind w:left="720" w:hanging="720"/>
        <w:jc w:val="left"/>
        <w:rPr>
          <w:noProof/>
        </w:rPr>
      </w:pPr>
      <w:r w:rsidRPr="00612C49">
        <w:rPr>
          <w:noProof/>
          <w:lang w:val="de-DE"/>
        </w:rPr>
        <w:t xml:space="preserve">Schmidt, F. L. and J. E. Hunter (2014). </w:t>
      </w:r>
      <w:r w:rsidRPr="00B51040">
        <w:rPr>
          <w:i/>
          <w:noProof/>
        </w:rPr>
        <w:t xml:space="preserve">Methods of Meta-Analysis: Correcting Error and Bias in Research Findings, </w:t>
      </w:r>
      <w:r w:rsidRPr="00B51040">
        <w:rPr>
          <w:noProof/>
        </w:rPr>
        <w:t>Sage, Newbury Park, CA.</w:t>
      </w:r>
    </w:p>
    <w:p w14:paraId="5BE33B48" w14:textId="77777777" w:rsidR="00EC7E61" w:rsidRPr="00B51040" w:rsidRDefault="00EC7E61" w:rsidP="00EC7E61">
      <w:pPr>
        <w:pStyle w:val="EndNoteBibliography"/>
        <w:ind w:left="720" w:hanging="720"/>
        <w:jc w:val="left"/>
        <w:rPr>
          <w:noProof/>
        </w:rPr>
      </w:pPr>
      <w:r w:rsidRPr="00B51040">
        <w:rPr>
          <w:noProof/>
        </w:rPr>
        <w:t xml:space="preserve">Schumacher, C., S. Keck and W. Tang (2020). 'Biased interpretation of performance feedback: The role of CEO overconfidence', </w:t>
      </w:r>
      <w:r w:rsidRPr="00B51040">
        <w:rPr>
          <w:i/>
          <w:noProof/>
        </w:rPr>
        <w:t>Strategic Management Journal,</w:t>
      </w:r>
      <w:r w:rsidRPr="00B51040">
        <w:rPr>
          <w:noProof/>
        </w:rPr>
        <w:t xml:space="preserve"> </w:t>
      </w:r>
      <w:r w:rsidRPr="00B51040">
        <w:rPr>
          <w:b/>
          <w:noProof/>
        </w:rPr>
        <w:t xml:space="preserve">41, </w:t>
      </w:r>
      <w:r w:rsidRPr="00B51040">
        <w:rPr>
          <w:noProof/>
        </w:rPr>
        <w:t>pp. 1139-1165.</w:t>
      </w:r>
    </w:p>
    <w:p w14:paraId="37661864" w14:textId="77777777" w:rsidR="00EC7E61" w:rsidRPr="00B51040" w:rsidRDefault="00EC7E61" w:rsidP="00EC7E61">
      <w:pPr>
        <w:pStyle w:val="EndNoteBibliography"/>
        <w:ind w:left="720" w:hanging="720"/>
        <w:jc w:val="left"/>
        <w:rPr>
          <w:noProof/>
        </w:rPr>
      </w:pPr>
      <w:r w:rsidRPr="00B51040">
        <w:rPr>
          <w:noProof/>
        </w:rPr>
        <w:t xml:space="preserve">Sedikides, C. (1999). 'A multiplicity of motives: The case of self-improvement', </w:t>
      </w:r>
      <w:r w:rsidRPr="00B51040">
        <w:rPr>
          <w:i/>
          <w:noProof/>
        </w:rPr>
        <w:t>Psychological Inquiry,</w:t>
      </w:r>
      <w:r w:rsidRPr="00B51040">
        <w:rPr>
          <w:noProof/>
        </w:rPr>
        <w:t xml:space="preserve"> </w:t>
      </w:r>
      <w:r w:rsidRPr="00B51040">
        <w:rPr>
          <w:b/>
          <w:noProof/>
        </w:rPr>
        <w:t xml:space="preserve">10, </w:t>
      </w:r>
      <w:r w:rsidRPr="00B51040">
        <w:rPr>
          <w:noProof/>
        </w:rPr>
        <w:t>pp. 64-65.</w:t>
      </w:r>
    </w:p>
    <w:p w14:paraId="62C288FF" w14:textId="77777777" w:rsidR="00EC7E61" w:rsidRPr="00B51040" w:rsidRDefault="00EC7E61" w:rsidP="00EC7E61">
      <w:pPr>
        <w:pStyle w:val="EndNoteBibliography"/>
        <w:ind w:left="720" w:hanging="720"/>
        <w:jc w:val="left"/>
        <w:rPr>
          <w:noProof/>
        </w:rPr>
      </w:pPr>
      <w:r w:rsidRPr="00B51040">
        <w:rPr>
          <w:noProof/>
        </w:rPr>
        <w:t xml:space="preserve">Sedikides, C., L. Gaertner and J. L. Vevea (2005). 'Pancultural self-enhancement reloaded: a meta-analytic reply to Heine (2005)', </w:t>
      </w:r>
      <w:r w:rsidRPr="00B51040">
        <w:rPr>
          <w:i/>
          <w:noProof/>
        </w:rPr>
        <w:t>J Pers Soc Psychol,</w:t>
      </w:r>
      <w:r w:rsidRPr="00B51040">
        <w:rPr>
          <w:noProof/>
        </w:rPr>
        <w:t xml:space="preserve"> </w:t>
      </w:r>
      <w:r w:rsidRPr="00B51040">
        <w:rPr>
          <w:b/>
          <w:noProof/>
        </w:rPr>
        <w:t xml:space="preserve">89, </w:t>
      </w:r>
      <w:r w:rsidRPr="00B51040">
        <w:rPr>
          <w:noProof/>
        </w:rPr>
        <w:t>pp. 539-51.</w:t>
      </w:r>
    </w:p>
    <w:p w14:paraId="5C0E8237" w14:textId="77777777" w:rsidR="00EC7E61" w:rsidRPr="00B51040" w:rsidRDefault="00EC7E61" w:rsidP="00EC7E61">
      <w:pPr>
        <w:pStyle w:val="EndNoteBibliography"/>
        <w:ind w:left="720" w:hanging="720"/>
        <w:jc w:val="left"/>
        <w:rPr>
          <w:noProof/>
        </w:rPr>
      </w:pPr>
      <w:r w:rsidRPr="00B51040">
        <w:rPr>
          <w:noProof/>
        </w:rPr>
        <w:t xml:space="preserve">Sedikides, C., A. P. Gregg and C. M. Hart (2007). The importance of being modest. In: C. Sedikides and S. Spencer (eds.), </w:t>
      </w:r>
      <w:r w:rsidRPr="00B51040">
        <w:rPr>
          <w:i/>
          <w:noProof/>
        </w:rPr>
        <w:t>The self: Frontiers in social psycholog.</w:t>
      </w:r>
      <w:r w:rsidRPr="00B51040">
        <w:rPr>
          <w:noProof/>
        </w:rPr>
        <w:t xml:space="preserve"> pp. 163-184. New York, NY: Psychology Press.</w:t>
      </w:r>
    </w:p>
    <w:p w14:paraId="33A6612E" w14:textId="77777777" w:rsidR="00EC7E61" w:rsidRPr="00B51040" w:rsidRDefault="00EC7E61" w:rsidP="00EC7E61">
      <w:pPr>
        <w:pStyle w:val="EndNoteBibliography"/>
        <w:ind w:left="720" w:hanging="720"/>
        <w:jc w:val="left"/>
        <w:rPr>
          <w:noProof/>
        </w:rPr>
      </w:pPr>
      <w:r w:rsidRPr="00B51040">
        <w:rPr>
          <w:noProof/>
        </w:rPr>
        <w:t xml:space="preserve">Sedikides, C. and E. G. Hepper (2009). 'Self‐improvement', </w:t>
      </w:r>
      <w:r w:rsidRPr="00B51040">
        <w:rPr>
          <w:i/>
          <w:noProof/>
        </w:rPr>
        <w:t>Social and Personality Psychology Compass,</w:t>
      </w:r>
      <w:r w:rsidRPr="00B51040">
        <w:rPr>
          <w:noProof/>
        </w:rPr>
        <w:t xml:space="preserve"> </w:t>
      </w:r>
      <w:r w:rsidRPr="00B51040">
        <w:rPr>
          <w:b/>
          <w:noProof/>
        </w:rPr>
        <w:t xml:space="preserve">3, </w:t>
      </w:r>
      <w:r w:rsidRPr="00B51040">
        <w:rPr>
          <w:noProof/>
        </w:rPr>
        <w:t>pp. 899-917.</w:t>
      </w:r>
    </w:p>
    <w:p w14:paraId="10EAFC74" w14:textId="77777777" w:rsidR="00EC7E61" w:rsidRPr="00B51040" w:rsidRDefault="00EC7E61" w:rsidP="00EC7E61">
      <w:pPr>
        <w:pStyle w:val="EndNoteBibliography"/>
        <w:ind w:left="720" w:hanging="720"/>
        <w:jc w:val="left"/>
        <w:rPr>
          <w:noProof/>
        </w:rPr>
      </w:pPr>
      <w:r w:rsidRPr="00B51040">
        <w:rPr>
          <w:noProof/>
        </w:rPr>
        <w:t xml:space="preserve">Sedikides, C. and M. J. Strube (1997). Self evaluation: To thine own self be good, to thine own self be sure, to thine own self be true, and to thine own self be better. In: M. P. Zanna (ed.) </w:t>
      </w:r>
      <w:r w:rsidRPr="00B51040">
        <w:rPr>
          <w:i/>
          <w:noProof/>
        </w:rPr>
        <w:t>Advances in Experimental Social Psychology.</w:t>
      </w:r>
      <w:r w:rsidRPr="00B51040">
        <w:rPr>
          <w:noProof/>
        </w:rPr>
        <w:t xml:space="preserve"> pp. 209–269. Academic Press.</w:t>
      </w:r>
    </w:p>
    <w:p w14:paraId="21E3A058" w14:textId="77777777" w:rsidR="00EC7E61" w:rsidRPr="00B51040" w:rsidRDefault="00EC7E61" w:rsidP="00EC7E61">
      <w:pPr>
        <w:pStyle w:val="EndNoteBibliography"/>
        <w:ind w:left="720" w:hanging="720"/>
        <w:jc w:val="left"/>
        <w:rPr>
          <w:noProof/>
        </w:rPr>
      </w:pPr>
      <w:r w:rsidRPr="00B51040">
        <w:rPr>
          <w:noProof/>
        </w:rPr>
        <w:t xml:space="preserve">Sengul, M. and T. Obloj (2017). 'Better safe than sorry: Subsidiary performance feedback and internal governance in multiunit firms', </w:t>
      </w:r>
      <w:r w:rsidRPr="00B51040">
        <w:rPr>
          <w:i/>
          <w:noProof/>
        </w:rPr>
        <w:t>Journal of Management,</w:t>
      </w:r>
      <w:r w:rsidRPr="00B51040">
        <w:rPr>
          <w:noProof/>
        </w:rPr>
        <w:t xml:space="preserve"> </w:t>
      </w:r>
      <w:r w:rsidRPr="00B51040">
        <w:rPr>
          <w:b/>
          <w:noProof/>
        </w:rPr>
        <w:t xml:space="preserve">43, </w:t>
      </w:r>
      <w:r w:rsidRPr="00B51040">
        <w:rPr>
          <w:noProof/>
        </w:rPr>
        <w:t>pp. 2526-2554.</w:t>
      </w:r>
    </w:p>
    <w:p w14:paraId="348B1E45" w14:textId="77777777" w:rsidR="00EC7E61" w:rsidRPr="00B51040" w:rsidRDefault="00EC7E61" w:rsidP="00EC7E61">
      <w:pPr>
        <w:pStyle w:val="EndNoteBibliography"/>
        <w:ind w:left="720" w:hanging="720"/>
        <w:jc w:val="left"/>
        <w:rPr>
          <w:noProof/>
        </w:rPr>
      </w:pPr>
      <w:r w:rsidRPr="00B51040">
        <w:rPr>
          <w:noProof/>
        </w:rPr>
        <w:lastRenderedPageBreak/>
        <w:t xml:space="preserve">Shijaku, E., M. Larraza-Kintana and A. Urtasun-Alonso (2018). 'Network centrality and organizational aspirations: A behavioral interaction in the context of international strategic alliances', </w:t>
      </w:r>
      <w:r w:rsidRPr="00B51040">
        <w:rPr>
          <w:i/>
          <w:noProof/>
        </w:rPr>
        <w:t>Journal of International Business Studies,</w:t>
      </w:r>
      <w:r w:rsidRPr="00B51040">
        <w:rPr>
          <w:noProof/>
        </w:rPr>
        <w:t xml:space="preserve"> </w:t>
      </w:r>
      <w:r w:rsidRPr="00B51040">
        <w:rPr>
          <w:b/>
          <w:noProof/>
        </w:rPr>
        <w:t xml:space="preserve">51, </w:t>
      </w:r>
      <w:r w:rsidRPr="00B51040">
        <w:rPr>
          <w:noProof/>
        </w:rPr>
        <w:t>pp. 813-828.</w:t>
      </w:r>
    </w:p>
    <w:p w14:paraId="58150FC9" w14:textId="77777777" w:rsidR="00EC7E61" w:rsidRPr="00B51040" w:rsidRDefault="00EC7E61" w:rsidP="00EC7E61">
      <w:pPr>
        <w:pStyle w:val="EndNoteBibliography"/>
        <w:ind w:left="720" w:hanging="720"/>
        <w:jc w:val="left"/>
        <w:rPr>
          <w:noProof/>
        </w:rPr>
      </w:pPr>
      <w:r w:rsidRPr="00B51040">
        <w:rPr>
          <w:noProof/>
        </w:rPr>
        <w:t xml:space="preserve">Shimizu, K. (2007). 'Prospect Theory, Behavioral Theory, and the Threat-Rigidity Thesis: Combinative effects on organizational decisions to divest formerly acquired units', </w:t>
      </w:r>
      <w:r w:rsidRPr="00B51040">
        <w:rPr>
          <w:i/>
          <w:noProof/>
        </w:rPr>
        <w:t>Academy of Management Journal,</w:t>
      </w:r>
      <w:r w:rsidRPr="00B51040">
        <w:rPr>
          <w:noProof/>
        </w:rPr>
        <w:t xml:space="preserve"> </w:t>
      </w:r>
      <w:r w:rsidRPr="00B51040">
        <w:rPr>
          <w:b/>
          <w:noProof/>
        </w:rPr>
        <w:t xml:space="preserve">50, </w:t>
      </w:r>
      <w:r w:rsidRPr="00B51040">
        <w:rPr>
          <w:noProof/>
        </w:rPr>
        <w:t>pp. 1495-1514.</w:t>
      </w:r>
    </w:p>
    <w:p w14:paraId="3B0B803D" w14:textId="77777777" w:rsidR="00EC7E61" w:rsidRPr="00B51040" w:rsidRDefault="00EC7E61" w:rsidP="00EC7E61">
      <w:pPr>
        <w:pStyle w:val="EndNoteBibliography"/>
        <w:ind w:left="720" w:hanging="720"/>
        <w:jc w:val="left"/>
        <w:rPr>
          <w:noProof/>
        </w:rPr>
      </w:pPr>
      <w:r w:rsidRPr="00B51040">
        <w:rPr>
          <w:noProof/>
        </w:rPr>
        <w:t xml:space="preserve">Shinkle, G. A., M. Goudsmit, C. J. Jackson, F. Yang and B. T. McCann (2019). 'On establishing legitimate goals and their performance impact', </w:t>
      </w:r>
      <w:r w:rsidRPr="00B51040">
        <w:rPr>
          <w:i/>
          <w:noProof/>
        </w:rPr>
        <w:t>Journal of Business Ethics,</w:t>
      </w:r>
      <w:r w:rsidRPr="00B51040">
        <w:rPr>
          <w:noProof/>
        </w:rPr>
        <w:t xml:space="preserve"> </w:t>
      </w:r>
      <w:r w:rsidRPr="00B51040">
        <w:rPr>
          <w:b/>
          <w:noProof/>
        </w:rPr>
        <w:t xml:space="preserve">157, </w:t>
      </w:r>
      <w:r w:rsidRPr="00B51040">
        <w:rPr>
          <w:noProof/>
        </w:rPr>
        <w:t>pp. 731-751.</w:t>
      </w:r>
    </w:p>
    <w:p w14:paraId="4343856B" w14:textId="77777777" w:rsidR="00EC7E61" w:rsidRPr="00B51040" w:rsidRDefault="00EC7E61" w:rsidP="00EC7E61">
      <w:pPr>
        <w:pStyle w:val="EndNoteBibliography"/>
        <w:ind w:left="720" w:hanging="720"/>
        <w:jc w:val="left"/>
        <w:rPr>
          <w:noProof/>
        </w:rPr>
      </w:pPr>
      <w:r w:rsidRPr="00B51040">
        <w:rPr>
          <w:noProof/>
        </w:rPr>
        <w:t xml:space="preserve">Shinkle, G. A. and A. P. Kriauciunas (2012). 'The impact of current and founding institutions on strength of competitive aspirations in transition economies', </w:t>
      </w:r>
      <w:r w:rsidRPr="00B51040">
        <w:rPr>
          <w:i/>
          <w:noProof/>
        </w:rPr>
        <w:t>Strategic Management Journal,</w:t>
      </w:r>
      <w:r w:rsidRPr="00B51040">
        <w:rPr>
          <w:noProof/>
        </w:rPr>
        <w:t xml:space="preserve"> </w:t>
      </w:r>
      <w:r w:rsidRPr="00B51040">
        <w:rPr>
          <w:b/>
          <w:noProof/>
        </w:rPr>
        <w:t xml:space="preserve">33, </w:t>
      </w:r>
      <w:r w:rsidRPr="00B51040">
        <w:rPr>
          <w:noProof/>
        </w:rPr>
        <w:t>pp. 448-458.</w:t>
      </w:r>
    </w:p>
    <w:p w14:paraId="10622ADF" w14:textId="77777777" w:rsidR="00EC7E61" w:rsidRPr="00B51040" w:rsidRDefault="00EC7E61" w:rsidP="00EC7E61">
      <w:pPr>
        <w:pStyle w:val="EndNoteBibliography"/>
        <w:ind w:left="720" w:hanging="720"/>
        <w:jc w:val="left"/>
        <w:rPr>
          <w:noProof/>
        </w:rPr>
      </w:pPr>
      <w:r w:rsidRPr="00B51040">
        <w:rPr>
          <w:noProof/>
        </w:rPr>
        <w:t xml:space="preserve">Shipilov, A. V., S. X. Li and H. R. Greve (2011). 'The prince and the pauper: Search and brokerage in the initiation of status-heterophilous ties', </w:t>
      </w:r>
      <w:r w:rsidRPr="00B51040">
        <w:rPr>
          <w:i/>
          <w:noProof/>
        </w:rPr>
        <w:t>Organization Science,</w:t>
      </w:r>
      <w:r w:rsidRPr="00B51040">
        <w:rPr>
          <w:noProof/>
        </w:rPr>
        <w:t xml:space="preserve"> </w:t>
      </w:r>
      <w:r w:rsidRPr="00B51040">
        <w:rPr>
          <w:b/>
          <w:noProof/>
        </w:rPr>
        <w:t xml:space="preserve">22, </w:t>
      </w:r>
      <w:r w:rsidRPr="00B51040">
        <w:rPr>
          <w:noProof/>
        </w:rPr>
        <w:t>pp. 1418-1434.</w:t>
      </w:r>
    </w:p>
    <w:p w14:paraId="21136E0D" w14:textId="77777777" w:rsidR="00EC7E61" w:rsidRPr="00B51040" w:rsidRDefault="00EC7E61" w:rsidP="00EC7E61">
      <w:pPr>
        <w:pStyle w:val="EndNoteBibliography"/>
        <w:ind w:left="720" w:hanging="720"/>
        <w:jc w:val="left"/>
        <w:rPr>
          <w:noProof/>
        </w:rPr>
      </w:pPr>
      <w:r w:rsidRPr="00B51040">
        <w:rPr>
          <w:noProof/>
        </w:rPr>
        <w:t xml:space="preserve">Short, J. C. and T. B. Palmer (2003). 'Organizational performance referents: An empirical examination of their content and influences', </w:t>
      </w:r>
      <w:r w:rsidRPr="00B51040">
        <w:rPr>
          <w:i/>
          <w:noProof/>
        </w:rPr>
        <w:t>Organizational Behavior and Human Decision Processes,</w:t>
      </w:r>
      <w:r w:rsidRPr="00B51040">
        <w:rPr>
          <w:noProof/>
        </w:rPr>
        <w:t xml:space="preserve"> </w:t>
      </w:r>
      <w:r w:rsidRPr="00B51040">
        <w:rPr>
          <w:b/>
          <w:noProof/>
        </w:rPr>
        <w:t xml:space="preserve">90, </w:t>
      </w:r>
      <w:r w:rsidRPr="00B51040">
        <w:rPr>
          <w:noProof/>
        </w:rPr>
        <w:t>pp. 209-224.</w:t>
      </w:r>
    </w:p>
    <w:p w14:paraId="0171B5AE" w14:textId="77777777" w:rsidR="00EC7E61" w:rsidRPr="00B51040" w:rsidRDefault="00EC7E61" w:rsidP="00EC7E61">
      <w:pPr>
        <w:pStyle w:val="EndNoteBibliography"/>
        <w:ind w:left="720" w:hanging="720"/>
        <w:jc w:val="left"/>
        <w:rPr>
          <w:noProof/>
        </w:rPr>
      </w:pPr>
      <w:r w:rsidRPr="00B51040">
        <w:rPr>
          <w:noProof/>
        </w:rPr>
        <w:t xml:space="preserve">Sitkin, S. B., K. E. See, C. C. Miller, M. W. Lawless and A. M. Carton (2011). 'The paradox of stretch goals: Organizations in pursuit of the seemingly impossible', </w:t>
      </w:r>
      <w:r w:rsidRPr="00B51040">
        <w:rPr>
          <w:i/>
          <w:noProof/>
        </w:rPr>
        <w:t>Academy of Management Review,</w:t>
      </w:r>
      <w:r w:rsidRPr="00B51040">
        <w:rPr>
          <w:noProof/>
        </w:rPr>
        <w:t xml:space="preserve"> </w:t>
      </w:r>
      <w:r w:rsidRPr="00B51040">
        <w:rPr>
          <w:b/>
          <w:noProof/>
        </w:rPr>
        <w:t xml:space="preserve">36, </w:t>
      </w:r>
      <w:r w:rsidRPr="00B51040">
        <w:rPr>
          <w:noProof/>
        </w:rPr>
        <w:t>pp. 544-566.</w:t>
      </w:r>
    </w:p>
    <w:p w14:paraId="0253763C" w14:textId="77777777" w:rsidR="00EC7E61" w:rsidRPr="00B51040" w:rsidRDefault="00EC7E61" w:rsidP="00EC7E61">
      <w:pPr>
        <w:pStyle w:val="EndNoteBibliography"/>
        <w:ind w:left="720" w:hanging="720"/>
        <w:jc w:val="left"/>
        <w:rPr>
          <w:noProof/>
        </w:rPr>
      </w:pPr>
      <w:r w:rsidRPr="00B51040">
        <w:rPr>
          <w:noProof/>
        </w:rPr>
        <w:t xml:space="preserve">Smith, E. B. and H. Chae (2017). 'The Effect of Organizational Atypicality on Reference Group Selection and Performance Evaluation', </w:t>
      </w:r>
      <w:r w:rsidRPr="00B51040">
        <w:rPr>
          <w:i/>
          <w:noProof/>
        </w:rPr>
        <w:t>Organization Science,</w:t>
      </w:r>
      <w:r w:rsidRPr="00B51040">
        <w:rPr>
          <w:noProof/>
        </w:rPr>
        <w:t xml:space="preserve"> </w:t>
      </w:r>
      <w:r w:rsidRPr="00B51040">
        <w:rPr>
          <w:b/>
          <w:noProof/>
        </w:rPr>
        <w:t xml:space="preserve">28, </w:t>
      </w:r>
      <w:r w:rsidRPr="00B51040">
        <w:rPr>
          <w:noProof/>
        </w:rPr>
        <w:t>pp. 1134-1149.</w:t>
      </w:r>
    </w:p>
    <w:p w14:paraId="56EB7ABE" w14:textId="77777777" w:rsidR="00EC7E61" w:rsidRPr="00B51040" w:rsidRDefault="00EC7E61" w:rsidP="00EC7E61">
      <w:pPr>
        <w:pStyle w:val="EndNoteBibliography"/>
        <w:ind w:left="720" w:hanging="720"/>
        <w:jc w:val="left"/>
        <w:rPr>
          <w:noProof/>
        </w:rPr>
      </w:pPr>
      <w:r w:rsidRPr="00B51040">
        <w:rPr>
          <w:noProof/>
        </w:rPr>
        <w:t xml:space="preserve">Smulowitz, S. J., H. E. Rousseau and P. Bromiley (2020). 'The behavioral theory of the (community‐oriented) firm: The differing response of community‐oriented firms to performance relative to aspirations', </w:t>
      </w:r>
      <w:r w:rsidRPr="00B51040">
        <w:rPr>
          <w:i/>
          <w:noProof/>
        </w:rPr>
        <w:t>Strategic Management Journal,</w:t>
      </w:r>
      <w:r w:rsidRPr="00B51040">
        <w:rPr>
          <w:noProof/>
        </w:rPr>
        <w:t xml:space="preserve"> </w:t>
      </w:r>
      <w:r w:rsidRPr="00B51040">
        <w:rPr>
          <w:b/>
          <w:noProof/>
        </w:rPr>
        <w:t xml:space="preserve">41, </w:t>
      </w:r>
      <w:r w:rsidRPr="00B51040">
        <w:rPr>
          <w:noProof/>
        </w:rPr>
        <w:t>pp. 1023-1053.</w:t>
      </w:r>
    </w:p>
    <w:p w14:paraId="22D0B10A" w14:textId="77777777" w:rsidR="00EC7E61" w:rsidRPr="00B51040" w:rsidRDefault="00EC7E61" w:rsidP="00EC7E61">
      <w:pPr>
        <w:pStyle w:val="EndNoteBibliography"/>
        <w:ind w:left="720" w:hanging="720"/>
        <w:jc w:val="left"/>
        <w:rPr>
          <w:noProof/>
        </w:rPr>
      </w:pPr>
      <w:r w:rsidRPr="00B51040">
        <w:rPr>
          <w:noProof/>
        </w:rPr>
        <w:t xml:space="preserve">Su, Y. and S. Si (2015). 'What motivates financial innovation across countries? The influences of performance aspiration and economic freedom', </w:t>
      </w:r>
      <w:r w:rsidRPr="00B51040">
        <w:rPr>
          <w:i/>
          <w:noProof/>
        </w:rPr>
        <w:t>Management International Review,</w:t>
      </w:r>
      <w:r w:rsidRPr="00B51040">
        <w:rPr>
          <w:noProof/>
        </w:rPr>
        <w:t xml:space="preserve"> </w:t>
      </w:r>
      <w:r w:rsidRPr="00B51040">
        <w:rPr>
          <w:b/>
          <w:noProof/>
        </w:rPr>
        <w:t xml:space="preserve">55, </w:t>
      </w:r>
      <w:r w:rsidRPr="00B51040">
        <w:rPr>
          <w:noProof/>
        </w:rPr>
        <w:t>pp. 563-587.</w:t>
      </w:r>
    </w:p>
    <w:p w14:paraId="3B2487FA" w14:textId="77777777" w:rsidR="00EC7E61" w:rsidRPr="00B51040" w:rsidRDefault="00EC7E61" w:rsidP="00EC7E61">
      <w:pPr>
        <w:pStyle w:val="EndNoteBibliography"/>
        <w:ind w:left="720" w:hanging="720"/>
        <w:jc w:val="left"/>
        <w:rPr>
          <w:noProof/>
        </w:rPr>
      </w:pPr>
      <w:r w:rsidRPr="00B51040">
        <w:rPr>
          <w:noProof/>
        </w:rPr>
        <w:t xml:space="preserve">Swann Jr, W. B. (1983). Self-verification: Bringing social reality into harmony with the self. In: J. Suls and A. G. Greenwald (eds.), </w:t>
      </w:r>
      <w:r w:rsidRPr="00B51040">
        <w:rPr>
          <w:i/>
          <w:noProof/>
        </w:rPr>
        <w:t>Social psychological perspectives on the self.</w:t>
      </w:r>
      <w:r w:rsidRPr="00B51040">
        <w:rPr>
          <w:noProof/>
        </w:rPr>
        <w:t xml:space="preserve"> pp. 33-66. Hillsdale, NJ: Erlbaum.</w:t>
      </w:r>
    </w:p>
    <w:p w14:paraId="03815645" w14:textId="77777777" w:rsidR="00EC7E61" w:rsidRPr="00B51040" w:rsidRDefault="00EC7E61" w:rsidP="00EC7E61">
      <w:pPr>
        <w:pStyle w:val="EndNoteBibliography"/>
        <w:ind w:left="720" w:hanging="720"/>
        <w:jc w:val="left"/>
        <w:rPr>
          <w:noProof/>
        </w:rPr>
      </w:pPr>
      <w:r w:rsidRPr="00B51040">
        <w:rPr>
          <w:noProof/>
        </w:rPr>
        <w:t xml:space="preserve">Swann Jr, W. B. and M. Brooks (2012). 'Why threats trigger compensatory reactions: The need for coherence and quest for self-verification', </w:t>
      </w:r>
      <w:r w:rsidRPr="00B51040">
        <w:rPr>
          <w:i/>
          <w:noProof/>
        </w:rPr>
        <w:t>Social Cognition,</w:t>
      </w:r>
      <w:r w:rsidRPr="00B51040">
        <w:rPr>
          <w:noProof/>
        </w:rPr>
        <w:t xml:space="preserve"> </w:t>
      </w:r>
      <w:r w:rsidRPr="00B51040">
        <w:rPr>
          <w:b/>
          <w:noProof/>
        </w:rPr>
        <w:t xml:space="preserve">30, </w:t>
      </w:r>
      <w:r w:rsidRPr="00B51040">
        <w:rPr>
          <w:noProof/>
        </w:rPr>
        <w:t>pp. 758-777.</w:t>
      </w:r>
    </w:p>
    <w:p w14:paraId="13D73D61" w14:textId="77777777" w:rsidR="00EC7E61" w:rsidRPr="00B51040" w:rsidRDefault="00EC7E61" w:rsidP="00EC7E61">
      <w:pPr>
        <w:pStyle w:val="EndNoteBibliography"/>
        <w:ind w:left="720" w:hanging="720"/>
        <w:jc w:val="left"/>
        <w:rPr>
          <w:noProof/>
        </w:rPr>
      </w:pPr>
      <w:r w:rsidRPr="00B51040">
        <w:rPr>
          <w:noProof/>
        </w:rPr>
        <w:t xml:space="preserve">Swann Jr, W. B., J. J. Griffin, S. C. Predmore and B. Gaines (1987). 'The cognitive–affective crossfire: When self-consistency confronts self-enhancement', </w:t>
      </w:r>
      <w:r w:rsidRPr="00B51040">
        <w:rPr>
          <w:i/>
          <w:noProof/>
        </w:rPr>
        <w:t>Journal of Personality and Social Psychology, ,</w:t>
      </w:r>
      <w:r w:rsidRPr="00B51040">
        <w:rPr>
          <w:noProof/>
        </w:rPr>
        <w:t xml:space="preserve"> </w:t>
      </w:r>
      <w:r w:rsidRPr="00B51040">
        <w:rPr>
          <w:b/>
          <w:noProof/>
        </w:rPr>
        <w:t xml:space="preserve">52, </w:t>
      </w:r>
      <w:r w:rsidRPr="00B51040">
        <w:rPr>
          <w:noProof/>
        </w:rPr>
        <w:t>pp. 881-889.</w:t>
      </w:r>
    </w:p>
    <w:p w14:paraId="435A8170" w14:textId="77777777" w:rsidR="00EC7E61" w:rsidRPr="00B51040" w:rsidRDefault="00EC7E61" w:rsidP="00EC7E61">
      <w:pPr>
        <w:pStyle w:val="EndNoteBibliography"/>
        <w:ind w:left="720" w:hanging="720"/>
        <w:jc w:val="left"/>
        <w:rPr>
          <w:noProof/>
        </w:rPr>
      </w:pPr>
      <w:r w:rsidRPr="00B51040">
        <w:rPr>
          <w:noProof/>
        </w:rPr>
        <w:t xml:space="preserve">Swann Jr, W. B. and S. J. Read (1981). 'Self-verification processes: How we sustain our self-conceptions', </w:t>
      </w:r>
      <w:r w:rsidRPr="00B51040">
        <w:rPr>
          <w:i/>
          <w:noProof/>
        </w:rPr>
        <w:t>Journal of Experimental Social Psychology,</w:t>
      </w:r>
      <w:r w:rsidRPr="00B51040">
        <w:rPr>
          <w:noProof/>
        </w:rPr>
        <w:t xml:space="preserve"> </w:t>
      </w:r>
      <w:r w:rsidRPr="00B51040">
        <w:rPr>
          <w:b/>
          <w:noProof/>
        </w:rPr>
        <w:t xml:space="preserve">17, </w:t>
      </w:r>
      <w:r w:rsidRPr="00B51040">
        <w:rPr>
          <w:noProof/>
        </w:rPr>
        <w:t>pp. 351-372.</w:t>
      </w:r>
    </w:p>
    <w:p w14:paraId="02247F4E" w14:textId="77777777" w:rsidR="00EC7E61" w:rsidRPr="00B51040" w:rsidRDefault="00EC7E61" w:rsidP="00EC7E61">
      <w:pPr>
        <w:pStyle w:val="EndNoteBibliography"/>
        <w:ind w:left="720" w:hanging="720"/>
        <w:jc w:val="left"/>
        <w:rPr>
          <w:noProof/>
        </w:rPr>
      </w:pPr>
      <w:r w:rsidRPr="00B51040">
        <w:rPr>
          <w:noProof/>
        </w:rPr>
        <w:t xml:space="preserve">Sweeney, P. D. and L. E. Wells (1990). 'Reactions to feedback about performance: A test of three competing models', </w:t>
      </w:r>
      <w:r w:rsidRPr="00B51040">
        <w:rPr>
          <w:i/>
          <w:noProof/>
        </w:rPr>
        <w:t>Journal of Applied Social Psychology,</w:t>
      </w:r>
      <w:r w:rsidRPr="00B51040">
        <w:rPr>
          <w:noProof/>
        </w:rPr>
        <w:t xml:space="preserve"> </w:t>
      </w:r>
      <w:r w:rsidRPr="00B51040">
        <w:rPr>
          <w:b/>
          <w:noProof/>
        </w:rPr>
        <w:t xml:space="preserve">20, </w:t>
      </w:r>
      <w:r w:rsidRPr="00B51040">
        <w:rPr>
          <w:noProof/>
        </w:rPr>
        <w:t>pp. 818-834.</w:t>
      </w:r>
    </w:p>
    <w:p w14:paraId="4D34901A" w14:textId="77777777" w:rsidR="00EC7E61" w:rsidRPr="00B51040" w:rsidRDefault="00EC7E61" w:rsidP="00EC7E61">
      <w:pPr>
        <w:pStyle w:val="EndNoteBibliography"/>
        <w:ind w:left="720" w:hanging="720"/>
        <w:jc w:val="left"/>
        <w:rPr>
          <w:noProof/>
        </w:rPr>
      </w:pPr>
      <w:r w:rsidRPr="00B51040">
        <w:rPr>
          <w:noProof/>
        </w:rPr>
        <w:t xml:space="preserve">Taylor, S. E., J. S. Lerner, D. K. Sherman, R. M. Sage and N. K. McDowell (2003). 'Are self-enhancing cognitions associated with healthy or unhealthy biological profiles?', </w:t>
      </w:r>
      <w:r w:rsidRPr="00B51040">
        <w:rPr>
          <w:i/>
          <w:noProof/>
        </w:rPr>
        <w:t>Journal of Personality and Social Psychology,</w:t>
      </w:r>
      <w:r w:rsidRPr="00B51040">
        <w:rPr>
          <w:noProof/>
        </w:rPr>
        <w:t xml:space="preserve"> </w:t>
      </w:r>
      <w:r w:rsidRPr="00B51040">
        <w:rPr>
          <w:b/>
          <w:noProof/>
        </w:rPr>
        <w:t xml:space="preserve">85, </w:t>
      </w:r>
      <w:r w:rsidRPr="00B51040">
        <w:rPr>
          <w:noProof/>
        </w:rPr>
        <w:t>pp. 605-615.</w:t>
      </w:r>
    </w:p>
    <w:p w14:paraId="74891B33" w14:textId="77777777" w:rsidR="00EC7E61" w:rsidRPr="00B51040" w:rsidRDefault="00EC7E61" w:rsidP="00EC7E61">
      <w:pPr>
        <w:pStyle w:val="EndNoteBibliography"/>
        <w:ind w:left="720" w:hanging="720"/>
        <w:jc w:val="left"/>
        <w:rPr>
          <w:noProof/>
        </w:rPr>
      </w:pPr>
      <w:r w:rsidRPr="00B51040">
        <w:rPr>
          <w:noProof/>
        </w:rPr>
        <w:t xml:space="preserve">Titus, V., O. Parker and J. Covin (2019). 'Organizational Aspirations and External Venturing: The Contingency of Entrepreneurial Orientation', </w:t>
      </w:r>
      <w:r w:rsidRPr="00B51040">
        <w:rPr>
          <w:i/>
          <w:noProof/>
        </w:rPr>
        <w:t>Entrepreneurship Theory and Practice,</w:t>
      </w:r>
      <w:r w:rsidRPr="00B51040">
        <w:rPr>
          <w:noProof/>
        </w:rPr>
        <w:t xml:space="preserve"> </w:t>
      </w:r>
      <w:r w:rsidRPr="00B51040">
        <w:rPr>
          <w:b/>
          <w:noProof/>
        </w:rPr>
        <w:t xml:space="preserve">44, </w:t>
      </w:r>
      <w:r w:rsidRPr="00B51040">
        <w:rPr>
          <w:noProof/>
        </w:rPr>
        <w:t>pp. 645-670.</w:t>
      </w:r>
    </w:p>
    <w:p w14:paraId="4AE557A2" w14:textId="77777777" w:rsidR="00EC7E61" w:rsidRPr="00B51040" w:rsidRDefault="00EC7E61" w:rsidP="00EC7E61">
      <w:pPr>
        <w:pStyle w:val="EndNoteBibliography"/>
        <w:ind w:left="720" w:hanging="720"/>
        <w:jc w:val="left"/>
        <w:rPr>
          <w:noProof/>
        </w:rPr>
      </w:pPr>
      <w:r w:rsidRPr="00B51040">
        <w:rPr>
          <w:noProof/>
        </w:rPr>
        <w:t xml:space="preserve">Van Someren, M., Y. F. Barnard and J. Sandberg (1994). </w:t>
      </w:r>
      <w:r w:rsidRPr="00B51040">
        <w:rPr>
          <w:i/>
          <w:noProof/>
        </w:rPr>
        <w:t xml:space="preserve">The think aloud method: a practical approach to modelling cognitive, </w:t>
      </w:r>
      <w:r w:rsidRPr="00B51040">
        <w:rPr>
          <w:noProof/>
        </w:rPr>
        <w:t>Academic Press, London, UK.</w:t>
      </w:r>
    </w:p>
    <w:p w14:paraId="5B5FAF1A" w14:textId="77777777" w:rsidR="00EC7E61" w:rsidRPr="00B51040" w:rsidRDefault="00EC7E61" w:rsidP="00EC7E61">
      <w:pPr>
        <w:pStyle w:val="EndNoteBibliography"/>
        <w:ind w:left="720" w:hanging="720"/>
        <w:jc w:val="left"/>
        <w:rPr>
          <w:noProof/>
        </w:rPr>
      </w:pPr>
      <w:r w:rsidRPr="00B51040">
        <w:rPr>
          <w:noProof/>
        </w:rPr>
        <w:t xml:space="preserve">Verver, H., M. van Zelst, G. J. Lucas and M. T. Meeus (2018). 'Understanding heterogeneity in the performance feedback – response relationship: A meta-analysis', </w:t>
      </w:r>
      <w:r w:rsidRPr="00B51040">
        <w:rPr>
          <w:i/>
          <w:noProof/>
        </w:rPr>
        <w:t>Academy of Management Proceedings,</w:t>
      </w:r>
      <w:r w:rsidRPr="00B51040">
        <w:rPr>
          <w:noProof/>
        </w:rPr>
        <w:t xml:space="preserve"> </w:t>
      </w:r>
      <w:r w:rsidRPr="00B51040">
        <w:rPr>
          <w:b/>
          <w:noProof/>
        </w:rPr>
        <w:t>2018</w:t>
      </w:r>
      <w:r w:rsidRPr="00B51040">
        <w:rPr>
          <w:noProof/>
        </w:rPr>
        <w:t>.</w:t>
      </w:r>
    </w:p>
    <w:p w14:paraId="00CD5CB4" w14:textId="77777777" w:rsidR="00EC7E61" w:rsidRPr="00B51040" w:rsidRDefault="00EC7E61" w:rsidP="00EC7E61">
      <w:pPr>
        <w:pStyle w:val="EndNoteBibliography"/>
        <w:ind w:left="720" w:hanging="720"/>
        <w:jc w:val="left"/>
        <w:rPr>
          <w:noProof/>
        </w:rPr>
      </w:pPr>
      <w:r w:rsidRPr="00B51040">
        <w:rPr>
          <w:noProof/>
        </w:rPr>
        <w:lastRenderedPageBreak/>
        <w:t xml:space="preserve">Wang, R., C.-J. Lee, S.-C. Hsu and J.-H. Chen (2020). 'Preventing or encouraging illegal activities by construction firms: effects of top management team compensation and aspiration-performance discrepancies', </w:t>
      </w:r>
      <w:r w:rsidRPr="00B51040">
        <w:rPr>
          <w:i/>
          <w:noProof/>
        </w:rPr>
        <w:t>Engineering, Construction and Architectural Management,</w:t>
      </w:r>
      <w:r w:rsidRPr="00B51040">
        <w:rPr>
          <w:noProof/>
        </w:rPr>
        <w:t xml:space="preserve"> </w:t>
      </w:r>
      <w:r w:rsidRPr="00B51040">
        <w:rPr>
          <w:b/>
          <w:noProof/>
        </w:rPr>
        <w:t>ahead-of-print</w:t>
      </w:r>
      <w:r w:rsidRPr="00B51040">
        <w:rPr>
          <w:noProof/>
        </w:rPr>
        <w:t>.</w:t>
      </w:r>
    </w:p>
    <w:p w14:paraId="616A1A37" w14:textId="77777777" w:rsidR="00EC7E61" w:rsidRPr="00B51040" w:rsidRDefault="00EC7E61" w:rsidP="00EC7E61">
      <w:pPr>
        <w:pStyle w:val="EndNoteBibliography"/>
        <w:ind w:left="720" w:hanging="720"/>
        <w:jc w:val="left"/>
        <w:rPr>
          <w:noProof/>
        </w:rPr>
      </w:pPr>
      <w:r w:rsidRPr="00612C49">
        <w:rPr>
          <w:noProof/>
          <w:lang w:val="de-DE"/>
        </w:rPr>
        <w:t xml:space="preserve">Wennberg, K., F. Delmar and A. McKelvie (2016). </w:t>
      </w:r>
      <w:r w:rsidRPr="00B51040">
        <w:rPr>
          <w:noProof/>
        </w:rPr>
        <w:t xml:space="preserve">'Variable risk preferences in new firm growth and survival', </w:t>
      </w:r>
      <w:r w:rsidRPr="00B51040">
        <w:rPr>
          <w:i/>
          <w:noProof/>
        </w:rPr>
        <w:t>Journal of Business Venturing,</w:t>
      </w:r>
      <w:r w:rsidRPr="00B51040">
        <w:rPr>
          <w:noProof/>
        </w:rPr>
        <w:t xml:space="preserve"> </w:t>
      </w:r>
      <w:r w:rsidRPr="00B51040">
        <w:rPr>
          <w:b/>
          <w:noProof/>
        </w:rPr>
        <w:t xml:space="preserve">31, </w:t>
      </w:r>
      <w:r w:rsidRPr="00B51040">
        <w:rPr>
          <w:noProof/>
        </w:rPr>
        <w:t>pp. 408-427.</w:t>
      </w:r>
    </w:p>
    <w:p w14:paraId="3E7C8BFE" w14:textId="77777777" w:rsidR="00EC7E61" w:rsidRPr="00B51040" w:rsidRDefault="00EC7E61" w:rsidP="00EC7E61">
      <w:pPr>
        <w:pStyle w:val="EndNoteBibliography"/>
        <w:ind w:left="720" w:hanging="720"/>
        <w:jc w:val="left"/>
        <w:rPr>
          <w:noProof/>
        </w:rPr>
      </w:pPr>
      <w:r w:rsidRPr="00B51040">
        <w:rPr>
          <w:noProof/>
        </w:rPr>
        <w:t xml:space="preserve">Wennberg, K. and C. Holmquist (2008). 'Problemistic search and international entrepreneurship', </w:t>
      </w:r>
      <w:r w:rsidRPr="00B51040">
        <w:rPr>
          <w:i/>
          <w:noProof/>
        </w:rPr>
        <w:t>European Management Journal,</w:t>
      </w:r>
      <w:r w:rsidRPr="00B51040">
        <w:rPr>
          <w:noProof/>
        </w:rPr>
        <w:t xml:space="preserve"> </w:t>
      </w:r>
      <w:r w:rsidRPr="00B51040">
        <w:rPr>
          <w:b/>
          <w:noProof/>
        </w:rPr>
        <w:t xml:space="preserve">26, </w:t>
      </w:r>
      <w:r w:rsidRPr="00B51040">
        <w:rPr>
          <w:noProof/>
        </w:rPr>
        <w:t>pp. 441-454.</w:t>
      </w:r>
    </w:p>
    <w:p w14:paraId="4B1376AD" w14:textId="77777777" w:rsidR="00EC7E61" w:rsidRPr="00B51040" w:rsidRDefault="00EC7E61" w:rsidP="00EC7E61">
      <w:pPr>
        <w:pStyle w:val="EndNoteBibliography"/>
        <w:ind w:left="720" w:hanging="720"/>
        <w:jc w:val="left"/>
        <w:rPr>
          <w:noProof/>
        </w:rPr>
      </w:pPr>
      <w:r w:rsidRPr="00B51040">
        <w:rPr>
          <w:noProof/>
        </w:rPr>
        <w:t xml:space="preserve">White, K. and D. R. Lehman (2005). 'Culture and social comparison seeking: the role of self-motives', </w:t>
      </w:r>
      <w:r w:rsidRPr="00B51040">
        <w:rPr>
          <w:i/>
          <w:noProof/>
        </w:rPr>
        <w:t>Pers Soc Psychol Bull,</w:t>
      </w:r>
      <w:r w:rsidRPr="00B51040">
        <w:rPr>
          <w:noProof/>
        </w:rPr>
        <w:t xml:space="preserve"> </w:t>
      </w:r>
      <w:r w:rsidRPr="00B51040">
        <w:rPr>
          <w:b/>
          <w:noProof/>
        </w:rPr>
        <w:t xml:space="preserve">31, </w:t>
      </w:r>
      <w:r w:rsidRPr="00B51040">
        <w:rPr>
          <w:noProof/>
        </w:rPr>
        <w:t>pp. 232-42.</w:t>
      </w:r>
    </w:p>
    <w:p w14:paraId="44BC97CD" w14:textId="77777777" w:rsidR="00EC7E61" w:rsidRPr="00B51040" w:rsidRDefault="00EC7E61" w:rsidP="00EC7E61">
      <w:pPr>
        <w:pStyle w:val="EndNoteBibliography"/>
        <w:ind w:left="720" w:hanging="720"/>
        <w:jc w:val="left"/>
        <w:rPr>
          <w:noProof/>
        </w:rPr>
      </w:pPr>
      <w:r w:rsidRPr="00B51040">
        <w:rPr>
          <w:noProof/>
        </w:rPr>
        <w:t xml:space="preserve">Whitener, E. M. (1990). 'Confusion of confidence intervals and credibility intervals in meta-analysis', </w:t>
      </w:r>
      <w:r w:rsidRPr="00B51040">
        <w:rPr>
          <w:i/>
          <w:noProof/>
        </w:rPr>
        <w:t>Journal of Applied Psychology,</w:t>
      </w:r>
      <w:r w:rsidRPr="00B51040">
        <w:rPr>
          <w:noProof/>
        </w:rPr>
        <w:t xml:space="preserve"> </w:t>
      </w:r>
      <w:r w:rsidRPr="00B51040">
        <w:rPr>
          <w:b/>
          <w:noProof/>
        </w:rPr>
        <w:t xml:space="preserve">75, </w:t>
      </w:r>
      <w:r w:rsidRPr="00B51040">
        <w:rPr>
          <w:noProof/>
        </w:rPr>
        <w:t>pp. 315-321.</w:t>
      </w:r>
    </w:p>
    <w:p w14:paraId="12185BDB" w14:textId="77777777" w:rsidR="00EC7E61" w:rsidRPr="00B51040" w:rsidRDefault="00EC7E61" w:rsidP="00EC7E61">
      <w:pPr>
        <w:pStyle w:val="EndNoteBibliography"/>
        <w:ind w:left="720" w:hanging="720"/>
        <w:jc w:val="left"/>
        <w:rPr>
          <w:noProof/>
        </w:rPr>
      </w:pPr>
      <w:r w:rsidRPr="00B51040">
        <w:rPr>
          <w:noProof/>
        </w:rPr>
        <w:t xml:space="preserve">Wills, T. A. (1981). 'Downward comparison principles in social psychology. 90(2), 245.', </w:t>
      </w:r>
      <w:r w:rsidRPr="00B51040">
        <w:rPr>
          <w:i/>
          <w:noProof/>
        </w:rPr>
        <w:t>Psychological Bulletin,</w:t>
      </w:r>
      <w:r w:rsidRPr="00B51040">
        <w:rPr>
          <w:noProof/>
        </w:rPr>
        <w:t xml:space="preserve"> </w:t>
      </w:r>
      <w:r w:rsidRPr="00B51040">
        <w:rPr>
          <w:b/>
          <w:noProof/>
        </w:rPr>
        <w:t xml:space="preserve">90, </w:t>
      </w:r>
      <w:r w:rsidRPr="00B51040">
        <w:rPr>
          <w:noProof/>
        </w:rPr>
        <w:t>pp. 245-271.</w:t>
      </w:r>
    </w:p>
    <w:p w14:paraId="4B88A5DE" w14:textId="77777777" w:rsidR="00EC7E61" w:rsidRPr="00B51040" w:rsidRDefault="00EC7E61" w:rsidP="00EC7E61">
      <w:pPr>
        <w:pStyle w:val="EndNoteBibliography"/>
        <w:ind w:left="720" w:hanging="720"/>
        <w:jc w:val="left"/>
        <w:rPr>
          <w:noProof/>
        </w:rPr>
      </w:pPr>
      <w:r w:rsidRPr="00B51040">
        <w:rPr>
          <w:noProof/>
        </w:rPr>
        <w:t xml:space="preserve">Wood, J. V. (1989). 'Theory and research concerning social comparisons of personal attributes', </w:t>
      </w:r>
      <w:r w:rsidRPr="00B51040">
        <w:rPr>
          <w:i/>
          <w:noProof/>
        </w:rPr>
        <w:t>Psychological Bulletin,</w:t>
      </w:r>
      <w:r w:rsidRPr="00B51040">
        <w:rPr>
          <w:noProof/>
        </w:rPr>
        <w:t xml:space="preserve"> </w:t>
      </w:r>
      <w:r w:rsidRPr="00B51040">
        <w:rPr>
          <w:b/>
          <w:noProof/>
        </w:rPr>
        <w:t xml:space="preserve">106, </w:t>
      </w:r>
      <w:r w:rsidRPr="00B51040">
        <w:rPr>
          <w:noProof/>
        </w:rPr>
        <w:t>pp. 231-248.</w:t>
      </w:r>
    </w:p>
    <w:p w14:paraId="54501029" w14:textId="77777777" w:rsidR="00EC7E61" w:rsidRPr="00B51040" w:rsidRDefault="00EC7E61" w:rsidP="00EC7E61">
      <w:pPr>
        <w:pStyle w:val="EndNoteBibliography"/>
        <w:ind w:left="720" w:hanging="720"/>
        <w:jc w:val="left"/>
        <w:rPr>
          <w:noProof/>
        </w:rPr>
      </w:pPr>
      <w:r w:rsidRPr="00B51040">
        <w:rPr>
          <w:noProof/>
        </w:rPr>
        <w:t xml:space="preserve">Xie, E., Y. Huang, C. E. Stevens and S. Lebedev (2019). 'Performance feedback and outward foreign direct investment by emerging economy firms', </w:t>
      </w:r>
      <w:r w:rsidRPr="00B51040">
        <w:rPr>
          <w:i/>
          <w:noProof/>
        </w:rPr>
        <w:t>Journal of World Business,</w:t>
      </w:r>
      <w:r w:rsidRPr="00B51040">
        <w:rPr>
          <w:noProof/>
        </w:rPr>
        <w:t xml:space="preserve"> </w:t>
      </w:r>
      <w:r w:rsidRPr="00B51040">
        <w:rPr>
          <w:b/>
          <w:noProof/>
        </w:rPr>
        <w:t>54</w:t>
      </w:r>
      <w:r w:rsidRPr="00B51040">
        <w:rPr>
          <w:noProof/>
        </w:rPr>
        <w:t>.</w:t>
      </w:r>
    </w:p>
    <w:p w14:paraId="1E88DEEC" w14:textId="77777777" w:rsidR="00EC7E61" w:rsidRPr="00B51040" w:rsidRDefault="00EC7E61" w:rsidP="00EC7E61">
      <w:pPr>
        <w:pStyle w:val="EndNoteBibliography"/>
        <w:ind w:left="720" w:hanging="720"/>
        <w:jc w:val="left"/>
        <w:rPr>
          <w:noProof/>
        </w:rPr>
      </w:pPr>
      <w:r w:rsidRPr="00612C49">
        <w:rPr>
          <w:noProof/>
          <w:lang w:val="de-DE"/>
        </w:rPr>
        <w:t xml:space="preserve">Xu, D., K. Z. Zhou and F. Du (2019). </w:t>
      </w:r>
      <w:r w:rsidRPr="00B51040">
        <w:rPr>
          <w:noProof/>
        </w:rPr>
        <w:t xml:space="preserve">'Deviant versus aspirational risk taking: The effects of perofrmance feedback on bribery expenditure and R&amp;D intensity', </w:t>
      </w:r>
      <w:r w:rsidRPr="00B51040">
        <w:rPr>
          <w:i/>
          <w:noProof/>
        </w:rPr>
        <w:t>Academy of Management Journal,</w:t>
      </w:r>
      <w:r w:rsidRPr="00B51040">
        <w:rPr>
          <w:noProof/>
        </w:rPr>
        <w:t xml:space="preserve"> </w:t>
      </w:r>
      <w:r w:rsidRPr="00B51040">
        <w:rPr>
          <w:b/>
          <w:noProof/>
        </w:rPr>
        <w:t xml:space="preserve">62, </w:t>
      </w:r>
      <w:r w:rsidRPr="00B51040">
        <w:rPr>
          <w:noProof/>
        </w:rPr>
        <w:t>pp. 1226-1251.</w:t>
      </w:r>
    </w:p>
    <w:p w14:paraId="03DCB80A" w14:textId="77777777" w:rsidR="00EC7E61" w:rsidRPr="00B51040" w:rsidRDefault="00EC7E61" w:rsidP="00EC7E61">
      <w:pPr>
        <w:pStyle w:val="EndNoteBibliography"/>
        <w:ind w:left="720" w:hanging="720"/>
        <w:jc w:val="left"/>
        <w:rPr>
          <w:noProof/>
        </w:rPr>
      </w:pPr>
      <w:r w:rsidRPr="00B51040">
        <w:rPr>
          <w:noProof/>
        </w:rPr>
        <w:t xml:space="preserve">Ye, Y., W. Yu and R. S. Nason (2021). 'Performance feedback persistence: comparative effects of historical versus peer performance feedback on innovative search', </w:t>
      </w:r>
      <w:r w:rsidRPr="00B51040">
        <w:rPr>
          <w:i/>
          <w:noProof/>
        </w:rPr>
        <w:t>Journal of Management,</w:t>
      </w:r>
      <w:r w:rsidRPr="00B51040">
        <w:rPr>
          <w:noProof/>
        </w:rPr>
        <w:t xml:space="preserve"> </w:t>
      </w:r>
      <w:r w:rsidRPr="00B51040">
        <w:rPr>
          <w:b/>
          <w:noProof/>
        </w:rPr>
        <w:t xml:space="preserve">47, </w:t>
      </w:r>
      <w:r w:rsidRPr="00B51040">
        <w:rPr>
          <w:noProof/>
        </w:rPr>
        <w:t>pp. 1053-1081.</w:t>
      </w:r>
    </w:p>
    <w:p w14:paraId="458D02DE" w14:textId="5F4D33B7" w:rsidR="00EC7E61" w:rsidRDefault="00EC7E61" w:rsidP="00EC7E61">
      <w:pPr>
        <w:pStyle w:val="EndNoteBibliography"/>
        <w:ind w:left="720" w:hanging="720"/>
        <w:jc w:val="left"/>
        <w:rPr>
          <w:noProof/>
        </w:rPr>
      </w:pPr>
      <w:r w:rsidRPr="00B51040">
        <w:rPr>
          <w:noProof/>
        </w:rPr>
        <w:t xml:space="preserve">Zhong, X., W. Chen and G. Ren (2021). 'The effects of performance shortfalls on firms’ exploitation and exploration R&amp;D internationalization decisions: Does industry environmental matter?', </w:t>
      </w:r>
      <w:r w:rsidRPr="00B51040">
        <w:rPr>
          <w:i/>
          <w:noProof/>
        </w:rPr>
        <w:t>Technovation,</w:t>
      </w:r>
      <w:r w:rsidRPr="00B51040">
        <w:rPr>
          <w:noProof/>
        </w:rPr>
        <w:t xml:space="preserve"> </w:t>
      </w:r>
      <w:r w:rsidRPr="00B51040">
        <w:rPr>
          <w:b/>
          <w:noProof/>
        </w:rPr>
        <w:t>in press</w:t>
      </w:r>
      <w:r w:rsidRPr="00B51040">
        <w:rPr>
          <w:noProof/>
        </w:rPr>
        <w:t>.</w:t>
      </w:r>
    </w:p>
    <w:p w14:paraId="080E0B73" w14:textId="77777777" w:rsidR="00EC7E61" w:rsidRDefault="00EC7E61" w:rsidP="00EC7E61"/>
    <w:p w14:paraId="4C62479D" w14:textId="77777777" w:rsidR="00EC7E61" w:rsidRDefault="00EC7E61" w:rsidP="00EC7E61"/>
    <w:p w14:paraId="5DC70738" w14:textId="77777777" w:rsidR="00EC7E61" w:rsidRDefault="00EC7E61" w:rsidP="00EC7E61"/>
    <w:p w14:paraId="65184E9B" w14:textId="77777777" w:rsidR="00EC7E61" w:rsidRDefault="00EC7E61" w:rsidP="00EC7E61"/>
    <w:p w14:paraId="56553F87" w14:textId="77777777" w:rsidR="00EC7E61" w:rsidRDefault="00EC7E61" w:rsidP="00EC7E61"/>
    <w:p w14:paraId="18E167AC" w14:textId="77777777" w:rsidR="00EC7E61" w:rsidRDefault="00EC7E61" w:rsidP="00EC7E61"/>
    <w:p w14:paraId="7B8227E1" w14:textId="77777777" w:rsidR="00EC7E61" w:rsidRDefault="00EC7E61" w:rsidP="00EC7E61"/>
    <w:p w14:paraId="1007AF10" w14:textId="77777777" w:rsidR="00EC7E61" w:rsidRDefault="00EC7E61" w:rsidP="00EC7E61"/>
    <w:p w14:paraId="039BE0FE" w14:textId="77777777" w:rsidR="00EC7E61" w:rsidRDefault="00EC7E61" w:rsidP="00EC7E61"/>
    <w:p w14:paraId="11E190CF" w14:textId="77777777" w:rsidR="00EC7E61" w:rsidRDefault="00EC7E61" w:rsidP="00EC7E61"/>
    <w:p w14:paraId="7AFEACC8" w14:textId="77777777" w:rsidR="00EC7E61" w:rsidRDefault="00EC7E61" w:rsidP="00EC7E61"/>
    <w:p w14:paraId="434EE754" w14:textId="77777777" w:rsidR="00EC7E61" w:rsidRDefault="00EC7E61" w:rsidP="00EC7E61"/>
    <w:p w14:paraId="2E900B8C" w14:textId="77777777" w:rsidR="00EC7E61" w:rsidRDefault="00EC7E61" w:rsidP="00EC7E61"/>
    <w:p w14:paraId="178EB24C" w14:textId="77777777" w:rsidR="00EC7E61" w:rsidRDefault="00EC7E61" w:rsidP="00EC7E61"/>
    <w:p w14:paraId="2F5D3BC2" w14:textId="77777777" w:rsidR="00EC7E61" w:rsidRDefault="00EC7E61" w:rsidP="00EC7E61"/>
    <w:p w14:paraId="382D117E" w14:textId="77777777" w:rsidR="00EC7E61" w:rsidRDefault="00EC7E61" w:rsidP="00EC7E61"/>
    <w:p w14:paraId="39995503" w14:textId="77777777" w:rsidR="00EC7E61" w:rsidRDefault="00EC7E61" w:rsidP="00EC7E61"/>
    <w:p w14:paraId="3F9A3ED5" w14:textId="77777777" w:rsidR="00EC7E61" w:rsidRDefault="00EC7E61" w:rsidP="00EC7E61"/>
    <w:p w14:paraId="31B9920B" w14:textId="77777777" w:rsidR="00EC7E61" w:rsidRDefault="00EC7E61" w:rsidP="00EC7E61"/>
    <w:p w14:paraId="0D02A85C" w14:textId="77777777" w:rsidR="00EC7E61" w:rsidRDefault="00EC7E61" w:rsidP="00EC7E61"/>
    <w:p w14:paraId="066871E4" w14:textId="37247754" w:rsidR="00EC7E61" w:rsidRDefault="00EC7E61" w:rsidP="00EC7E61">
      <w:pPr>
        <w:sectPr w:rsidR="00EC7E61">
          <w:footerReference w:type="default" r:id="rId7"/>
          <w:endnotePr>
            <w:numFmt w:val="decimal"/>
          </w:endnotePr>
          <w:pgSz w:w="12240" w:h="15840"/>
          <w:pgMar w:top="1440" w:right="1440" w:bottom="1440" w:left="1440" w:header="720" w:footer="720" w:gutter="0"/>
          <w:cols w:space="720"/>
        </w:sectPr>
      </w:pPr>
    </w:p>
    <w:p w14:paraId="09769324" w14:textId="77777777" w:rsidR="00750C42" w:rsidRDefault="00750C42" w:rsidP="0057655F">
      <w:pPr>
        <w:jc w:val="center"/>
        <w:rPr>
          <w:rFonts w:ascii="Times New Roman" w:eastAsia="Times New Roman" w:hAnsi="Times New Roman" w:cs="Times New Roman"/>
          <w:b/>
        </w:rPr>
      </w:pPr>
      <w:r>
        <w:rPr>
          <w:rFonts w:ascii="Times New Roman" w:eastAsia="Times New Roman" w:hAnsi="Times New Roman" w:cs="Times New Roman"/>
          <w:b/>
        </w:rPr>
        <w:lastRenderedPageBreak/>
        <w:t>APPENDIX A1.</w:t>
      </w:r>
    </w:p>
    <w:p w14:paraId="24F776F0" w14:textId="77777777" w:rsidR="00750C42" w:rsidRDefault="00750C42" w:rsidP="0057655F">
      <w:pPr>
        <w:jc w:val="center"/>
        <w:rPr>
          <w:rFonts w:ascii="Times New Roman" w:eastAsia="Times New Roman" w:hAnsi="Times New Roman" w:cs="Times New Roman"/>
          <w:b/>
        </w:rPr>
      </w:pPr>
      <w:r>
        <w:rPr>
          <w:rFonts w:ascii="Times New Roman" w:eastAsia="Times New Roman" w:hAnsi="Times New Roman" w:cs="Times New Roman"/>
          <w:b/>
        </w:rPr>
        <w:t>Studies Included in the Meta-Analysis</w:t>
      </w:r>
    </w:p>
    <w:p w14:paraId="449AAB21" w14:textId="77777777" w:rsidR="00750C42" w:rsidRDefault="00750C42" w:rsidP="0057655F">
      <w:pPr>
        <w:jc w:val="center"/>
        <w:rPr>
          <w:rFonts w:ascii="Times New Roman" w:eastAsia="Times New Roman" w:hAnsi="Times New Roman" w:cs="Times New Roman"/>
          <w:b/>
        </w:rPr>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600" w:firstRow="0" w:lastRow="0" w:firstColumn="0" w:lastColumn="0" w:noHBand="1" w:noVBand="1"/>
      </w:tblPr>
      <w:tblGrid>
        <w:gridCol w:w="2122"/>
        <w:gridCol w:w="2701"/>
        <w:gridCol w:w="1154"/>
        <w:gridCol w:w="1973"/>
        <w:gridCol w:w="1390"/>
      </w:tblGrid>
      <w:tr w:rsidR="00750C42" w14:paraId="12DC181A" w14:textId="77777777" w:rsidTr="0057655F">
        <w:trPr>
          <w:trHeight w:val="555"/>
          <w:tblHeader/>
        </w:trPr>
        <w:tc>
          <w:tcPr>
            <w:tcW w:w="1136"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CA3F7F0" w14:textId="77777777" w:rsidR="00750C42" w:rsidRDefault="00750C42" w:rsidP="0057655F">
            <w:pPr>
              <w:jc w:val="center"/>
              <w:rPr>
                <w:rFonts w:ascii="Times New Roman" w:eastAsia="Times New Roman" w:hAnsi="Times New Roman" w:cs="Times New Roman"/>
                <w:b/>
              </w:rPr>
            </w:pPr>
            <w:r>
              <w:rPr>
                <w:rFonts w:ascii="Times New Roman" w:eastAsia="Times New Roman" w:hAnsi="Times New Roman" w:cs="Times New Roman"/>
                <w:b/>
              </w:rPr>
              <w:t>Study</w:t>
            </w:r>
          </w:p>
        </w:tc>
        <w:tc>
          <w:tcPr>
            <w:tcW w:w="1446" w:type="pct"/>
            <w:tcBorders>
              <w:top w:val="single" w:sz="8" w:space="0" w:color="000000"/>
              <w:bottom w:val="single" w:sz="8" w:space="0" w:color="000000"/>
              <w:right w:val="single" w:sz="8" w:space="0" w:color="000000"/>
            </w:tcBorders>
            <w:tcMar>
              <w:top w:w="100" w:type="dxa"/>
              <w:left w:w="100" w:type="dxa"/>
              <w:bottom w:w="100" w:type="dxa"/>
              <w:right w:w="100" w:type="dxa"/>
            </w:tcMar>
          </w:tcPr>
          <w:p w14:paraId="396BA20E" w14:textId="77777777" w:rsidR="00750C42" w:rsidRDefault="00750C42" w:rsidP="0057655F">
            <w:pPr>
              <w:jc w:val="center"/>
              <w:rPr>
                <w:rFonts w:ascii="Times New Roman" w:eastAsia="Times New Roman" w:hAnsi="Times New Roman" w:cs="Times New Roman"/>
                <w:b/>
              </w:rPr>
            </w:pPr>
            <w:r>
              <w:rPr>
                <w:rFonts w:ascii="Times New Roman" w:eastAsia="Times New Roman" w:hAnsi="Times New Roman" w:cs="Times New Roman"/>
                <w:b/>
              </w:rPr>
              <w:t>Sample Size</w:t>
            </w:r>
          </w:p>
        </w:tc>
        <w:tc>
          <w:tcPr>
            <w:tcW w:w="618" w:type="pct"/>
            <w:tcBorders>
              <w:top w:val="single" w:sz="8" w:space="0" w:color="000000"/>
              <w:bottom w:val="single" w:sz="8" w:space="0" w:color="000000"/>
              <w:right w:val="single" w:sz="8" w:space="0" w:color="000000"/>
            </w:tcBorders>
            <w:tcMar>
              <w:top w:w="100" w:type="dxa"/>
              <w:left w:w="100" w:type="dxa"/>
              <w:bottom w:w="100" w:type="dxa"/>
              <w:right w:w="100" w:type="dxa"/>
            </w:tcMar>
          </w:tcPr>
          <w:p w14:paraId="7134D444" w14:textId="77777777" w:rsidR="00750C42" w:rsidRDefault="00750C42" w:rsidP="0057655F">
            <w:pPr>
              <w:jc w:val="center"/>
              <w:rPr>
                <w:rFonts w:ascii="Times New Roman" w:eastAsia="Times New Roman" w:hAnsi="Times New Roman" w:cs="Times New Roman"/>
                <w:b/>
              </w:rPr>
            </w:pPr>
            <w:r>
              <w:rPr>
                <w:rFonts w:ascii="Times New Roman" w:eastAsia="Times New Roman" w:hAnsi="Times New Roman" w:cs="Times New Roman"/>
                <w:b/>
              </w:rPr>
              <w:t>Data Collection Period</w:t>
            </w:r>
          </w:p>
        </w:tc>
        <w:tc>
          <w:tcPr>
            <w:tcW w:w="1056" w:type="pct"/>
            <w:tcBorders>
              <w:top w:val="single" w:sz="8" w:space="0" w:color="000000"/>
              <w:bottom w:val="single" w:sz="8" w:space="0" w:color="000000"/>
              <w:right w:val="single" w:sz="8" w:space="0" w:color="000000"/>
            </w:tcBorders>
            <w:tcMar>
              <w:top w:w="100" w:type="dxa"/>
              <w:left w:w="100" w:type="dxa"/>
              <w:bottom w:w="100" w:type="dxa"/>
              <w:right w:w="100" w:type="dxa"/>
            </w:tcMar>
          </w:tcPr>
          <w:p w14:paraId="12C02519" w14:textId="77777777" w:rsidR="00750C42" w:rsidRDefault="00750C42" w:rsidP="0057655F">
            <w:pPr>
              <w:jc w:val="center"/>
              <w:rPr>
                <w:rFonts w:ascii="Times New Roman" w:eastAsia="Times New Roman" w:hAnsi="Times New Roman" w:cs="Times New Roman"/>
                <w:b/>
              </w:rPr>
            </w:pPr>
            <w:r>
              <w:rPr>
                <w:rFonts w:ascii="Times New Roman" w:eastAsia="Times New Roman" w:hAnsi="Times New Roman" w:cs="Times New Roman"/>
                <w:b/>
              </w:rPr>
              <w:t>Reference Group Operationalization</w:t>
            </w:r>
          </w:p>
        </w:tc>
        <w:tc>
          <w:tcPr>
            <w:tcW w:w="744" w:type="pct"/>
            <w:tcBorders>
              <w:top w:val="single" w:sz="8" w:space="0" w:color="000000"/>
              <w:bottom w:val="single" w:sz="8" w:space="0" w:color="000000"/>
              <w:right w:val="single" w:sz="8" w:space="0" w:color="000000"/>
            </w:tcBorders>
          </w:tcPr>
          <w:p w14:paraId="705BF53D" w14:textId="77777777" w:rsidR="00750C42" w:rsidRDefault="00750C42" w:rsidP="0057655F">
            <w:pPr>
              <w:jc w:val="center"/>
              <w:rPr>
                <w:rFonts w:ascii="Times New Roman" w:eastAsia="Times New Roman" w:hAnsi="Times New Roman" w:cs="Times New Roman"/>
                <w:b/>
              </w:rPr>
            </w:pPr>
            <w:r>
              <w:rPr>
                <w:rFonts w:ascii="Times New Roman" w:eastAsia="Times New Roman" w:hAnsi="Times New Roman" w:cs="Times New Roman"/>
                <w:b/>
              </w:rPr>
              <w:t>Motive</w:t>
            </w:r>
          </w:p>
        </w:tc>
      </w:tr>
      <w:tr w:rsidR="00750C42" w14:paraId="5E72E8CD" w14:textId="77777777" w:rsidTr="0057655F">
        <w:trPr>
          <w:trHeight w:val="24"/>
        </w:trPr>
        <w:tc>
          <w:tcPr>
            <w:tcW w:w="1136" w:type="pct"/>
            <w:tcMar>
              <w:top w:w="100" w:type="dxa"/>
              <w:left w:w="100" w:type="dxa"/>
              <w:bottom w:w="100" w:type="dxa"/>
              <w:right w:w="100" w:type="dxa"/>
            </w:tcMar>
          </w:tcPr>
          <w:p w14:paraId="20956980"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Ahn</w:t>
            </w:r>
            <w:proofErr w:type="spellEnd"/>
            <w:r>
              <w:rPr>
                <w:rFonts w:ascii="Times New Roman" w:eastAsia="Times New Roman" w:hAnsi="Times New Roman" w:cs="Times New Roman"/>
              </w:rPr>
              <w:t xml:space="preserve"> et al., 2020 </w:t>
            </w:r>
          </w:p>
        </w:tc>
        <w:tc>
          <w:tcPr>
            <w:tcW w:w="1446" w:type="pct"/>
            <w:tcMar>
              <w:top w:w="100" w:type="dxa"/>
              <w:left w:w="100" w:type="dxa"/>
              <w:bottom w:w="100" w:type="dxa"/>
              <w:right w:w="100" w:type="dxa"/>
            </w:tcMar>
          </w:tcPr>
          <w:p w14:paraId="1EFD14F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98 firms, 447 observations</w:t>
            </w:r>
          </w:p>
        </w:tc>
        <w:tc>
          <w:tcPr>
            <w:tcW w:w="618" w:type="pct"/>
            <w:tcMar>
              <w:top w:w="100" w:type="dxa"/>
              <w:left w:w="100" w:type="dxa"/>
              <w:bottom w:w="100" w:type="dxa"/>
              <w:right w:w="100" w:type="dxa"/>
            </w:tcMar>
          </w:tcPr>
          <w:p w14:paraId="6E1AFE4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2011-2017</w:t>
            </w:r>
          </w:p>
        </w:tc>
        <w:tc>
          <w:tcPr>
            <w:tcW w:w="1056" w:type="pct"/>
            <w:tcMar>
              <w:top w:w="100" w:type="dxa"/>
              <w:left w:w="100" w:type="dxa"/>
              <w:bottom w:w="100" w:type="dxa"/>
              <w:right w:w="100" w:type="dxa"/>
            </w:tcMar>
          </w:tcPr>
          <w:p w14:paraId="1C9AF2B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7F5E446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403CF8BB" w14:textId="77777777" w:rsidTr="0057655F">
        <w:trPr>
          <w:trHeight w:val="24"/>
        </w:trPr>
        <w:tc>
          <w:tcPr>
            <w:tcW w:w="1136" w:type="pct"/>
            <w:tcMar>
              <w:top w:w="100" w:type="dxa"/>
              <w:left w:w="100" w:type="dxa"/>
              <w:bottom w:w="100" w:type="dxa"/>
              <w:right w:w="100" w:type="dxa"/>
            </w:tcMar>
          </w:tcPr>
          <w:p w14:paraId="7959E21A"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Alexy</w:t>
            </w:r>
            <w:proofErr w:type="spellEnd"/>
            <w:r>
              <w:rPr>
                <w:rFonts w:ascii="Times New Roman" w:eastAsia="Times New Roman" w:hAnsi="Times New Roman" w:cs="Times New Roman"/>
              </w:rPr>
              <w:t xml:space="preserve"> et al., 2016 </w:t>
            </w:r>
          </w:p>
          <w:p w14:paraId="0843F34A" w14:textId="77777777" w:rsidR="00750C42" w:rsidRDefault="00750C42" w:rsidP="0057655F">
            <w:pPr>
              <w:jc w:val="center"/>
              <w:rPr>
                <w:rFonts w:ascii="Times New Roman" w:eastAsia="Times New Roman" w:hAnsi="Times New Roman" w:cs="Times New Roman"/>
              </w:rPr>
            </w:pPr>
          </w:p>
        </w:tc>
        <w:tc>
          <w:tcPr>
            <w:tcW w:w="1446" w:type="pct"/>
            <w:tcMar>
              <w:top w:w="100" w:type="dxa"/>
              <w:left w:w="100" w:type="dxa"/>
              <w:bottom w:w="100" w:type="dxa"/>
              <w:right w:w="100" w:type="dxa"/>
            </w:tcMar>
          </w:tcPr>
          <w:p w14:paraId="31D90A7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313 firms</w:t>
            </w:r>
          </w:p>
        </w:tc>
        <w:tc>
          <w:tcPr>
            <w:tcW w:w="618" w:type="pct"/>
            <w:tcMar>
              <w:top w:w="100" w:type="dxa"/>
              <w:left w:w="100" w:type="dxa"/>
              <w:bottom w:w="100" w:type="dxa"/>
              <w:right w:w="100" w:type="dxa"/>
            </w:tcMar>
          </w:tcPr>
          <w:p w14:paraId="6E7353F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2008-2010</w:t>
            </w:r>
          </w:p>
        </w:tc>
        <w:tc>
          <w:tcPr>
            <w:tcW w:w="1056" w:type="pct"/>
            <w:tcMar>
              <w:top w:w="100" w:type="dxa"/>
              <w:left w:w="100" w:type="dxa"/>
              <w:bottom w:w="100" w:type="dxa"/>
              <w:right w:w="100" w:type="dxa"/>
            </w:tcMar>
          </w:tcPr>
          <w:p w14:paraId="596A0C2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54619FD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27FA0E56" w14:textId="77777777" w:rsidTr="0057655F">
        <w:trPr>
          <w:trHeight w:val="146"/>
        </w:trPr>
        <w:tc>
          <w:tcPr>
            <w:tcW w:w="1136" w:type="pct"/>
            <w:tcMar>
              <w:top w:w="100" w:type="dxa"/>
              <w:left w:w="100" w:type="dxa"/>
              <w:bottom w:w="100" w:type="dxa"/>
              <w:right w:w="100" w:type="dxa"/>
            </w:tcMar>
          </w:tcPr>
          <w:p w14:paraId="7E1EF5AC"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Arrfelt</w:t>
            </w:r>
            <w:proofErr w:type="spellEnd"/>
            <w:r>
              <w:rPr>
                <w:rFonts w:ascii="Times New Roman" w:eastAsia="Times New Roman" w:hAnsi="Times New Roman" w:cs="Times New Roman"/>
              </w:rPr>
              <w:t xml:space="preserve"> et al., 2012 </w:t>
            </w:r>
          </w:p>
        </w:tc>
        <w:tc>
          <w:tcPr>
            <w:tcW w:w="1446" w:type="pct"/>
            <w:tcMar>
              <w:top w:w="100" w:type="dxa"/>
              <w:left w:w="100" w:type="dxa"/>
              <w:bottom w:w="100" w:type="dxa"/>
              <w:right w:w="100" w:type="dxa"/>
            </w:tcMar>
          </w:tcPr>
          <w:p w14:paraId="04C3BC3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8,266 observations</w:t>
            </w:r>
          </w:p>
        </w:tc>
        <w:tc>
          <w:tcPr>
            <w:tcW w:w="618" w:type="pct"/>
            <w:tcMar>
              <w:top w:w="100" w:type="dxa"/>
              <w:left w:w="100" w:type="dxa"/>
              <w:bottom w:w="100" w:type="dxa"/>
              <w:right w:w="100" w:type="dxa"/>
            </w:tcMar>
          </w:tcPr>
          <w:p w14:paraId="6418B08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1998-2006</w:t>
            </w:r>
          </w:p>
        </w:tc>
        <w:tc>
          <w:tcPr>
            <w:tcW w:w="1056" w:type="pct"/>
            <w:tcMar>
              <w:top w:w="100" w:type="dxa"/>
              <w:left w:w="100" w:type="dxa"/>
              <w:bottom w:w="100" w:type="dxa"/>
              <w:right w:w="100" w:type="dxa"/>
            </w:tcMar>
          </w:tcPr>
          <w:p w14:paraId="2239BC8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Business units</w:t>
            </w:r>
          </w:p>
        </w:tc>
        <w:tc>
          <w:tcPr>
            <w:tcW w:w="744" w:type="pct"/>
          </w:tcPr>
          <w:p w14:paraId="1C0286C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6203A909" w14:textId="77777777" w:rsidTr="0057655F">
        <w:trPr>
          <w:trHeight w:val="56"/>
        </w:trPr>
        <w:tc>
          <w:tcPr>
            <w:tcW w:w="1136" w:type="pct"/>
            <w:tcMar>
              <w:top w:w="100" w:type="dxa"/>
              <w:left w:w="100" w:type="dxa"/>
              <w:bottom w:w="100" w:type="dxa"/>
              <w:right w:w="100" w:type="dxa"/>
            </w:tcMar>
          </w:tcPr>
          <w:p w14:paraId="3F04C4FF"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Askin</w:t>
            </w:r>
            <w:proofErr w:type="spellEnd"/>
            <w:r>
              <w:rPr>
                <w:rFonts w:ascii="Times New Roman" w:eastAsia="Times New Roman" w:hAnsi="Times New Roman" w:cs="Times New Roman"/>
              </w:rPr>
              <w:t xml:space="preserve"> and Bothner, 2016   </w:t>
            </w:r>
          </w:p>
        </w:tc>
        <w:tc>
          <w:tcPr>
            <w:tcW w:w="1446" w:type="pct"/>
            <w:tcMar>
              <w:top w:w="100" w:type="dxa"/>
              <w:left w:w="100" w:type="dxa"/>
              <w:bottom w:w="100" w:type="dxa"/>
              <w:right w:w="100" w:type="dxa"/>
            </w:tcMar>
          </w:tcPr>
          <w:p w14:paraId="3506369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1,019 observations</w:t>
            </w:r>
          </w:p>
        </w:tc>
        <w:tc>
          <w:tcPr>
            <w:tcW w:w="618" w:type="pct"/>
            <w:tcMar>
              <w:top w:w="100" w:type="dxa"/>
              <w:left w:w="100" w:type="dxa"/>
              <w:bottom w:w="100" w:type="dxa"/>
              <w:right w:w="100" w:type="dxa"/>
            </w:tcMar>
          </w:tcPr>
          <w:p w14:paraId="4A6A05E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2005-2012</w:t>
            </w:r>
          </w:p>
        </w:tc>
        <w:tc>
          <w:tcPr>
            <w:tcW w:w="1056" w:type="pct"/>
            <w:tcMar>
              <w:top w:w="100" w:type="dxa"/>
              <w:left w:w="100" w:type="dxa"/>
              <w:bottom w:w="100" w:type="dxa"/>
              <w:right w:w="100" w:type="dxa"/>
            </w:tcMar>
          </w:tcPr>
          <w:p w14:paraId="6071DCE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Top ranked business schools</w:t>
            </w:r>
          </w:p>
        </w:tc>
        <w:tc>
          <w:tcPr>
            <w:tcW w:w="744" w:type="pct"/>
          </w:tcPr>
          <w:p w14:paraId="0B33EC7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Self-improvement</w:t>
            </w:r>
          </w:p>
        </w:tc>
      </w:tr>
      <w:tr w:rsidR="00750C42" w14:paraId="58E6234A" w14:textId="77777777" w:rsidTr="0057655F">
        <w:trPr>
          <w:trHeight w:val="24"/>
        </w:trPr>
        <w:tc>
          <w:tcPr>
            <w:tcW w:w="1136" w:type="pct"/>
            <w:tcMar>
              <w:top w:w="100" w:type="dxa"/>
              <w:left w:w="100" w:type="dxa"/>
              <w:bottom w:w="100" w:type="dxa"/>
              <w:right w:w="100" w:type="dxa"/>
            </w:tcMar>
          </w:tcPr>
          <w:p w14:paraId="41789842"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Audia</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Greve</w:t>
            </w:r>
            <w:proofErr w:type="spellEnd"/>
            <w:r>
              <w:rPr>
                <w:rFonts w:ascii="Times New Roman" w:eastAsia="Times New Roman" w:hAnsi="Times New Roman" w:cs="Times New Roman"/>
              </w:rPr>
              <w:t>, 2006</w:t>
            </w:r>
          </w:p>
          <w:p w14:paraId="4A75FB96" w14:textId="77777777" w:rsidR="00750C42" w:rsidRDefault="00750C42" w:rsidP="0057655F">
            <w:pPr>
              <w:jc w:val="center"/>
              <w:rPr>
                <w:rFonts w:ascii="Times New Roman" w:eastAsia="Times New Roman" w:hAnsi="Times New Roman" w:cs="Times New Roman"/>
              </w:rPr>
            </w:pPr>
          </w:p>
        </w:tc>
        <w:tc>
          <w:tcPr>
            <w:tcW w:w="1446" w:type="pct"/>
            <w:tcMar>
              <w:top w:w="100" w:type="dxa"/>
              <w:left w:w="100" w:type="dxa"/>
              <w:bottom w:w="100" w:type="dxa"/>
              <w:right w:w="100" w:type="dxa"/>
            </w:tcMar>
          </w:tcPr>
          <w:p w14:paraId="2B417AA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11 firms, 178 observations</w:t>
            </w:r>
          </w:p>
        </w:tc>
        <w:tc>
          <w:tcPr>
            <w:tcW w:w="618" w:type="pct"/>
            <w:tcMar>
              <w:top w:w="100" w:type="dxa"/>
              <w:left w:w="100" w:type="dxa"/>
              <w:bottom w:w="100" w:type="dxa"/>
              <w:right w:w="100" w:type="dxa"/>
            </w:tcMar>
          </w:tcPr>
          <w:p w14:paraId="0A0AB48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1974-1995</w:t>
            </w:r>
          </w:p>
        </w:tc>
        <w:tc>
          <w:tcPr>
            <w:tcW w:w="1056" w:type="pct"/>
            <w:tcMar>
              <w:top w:w="100" w:type="dxa"/>
              <w:left w:w="100" w:type="dxa"/>
              <w:bottom w:w="100" w:type="dxa"/>
              <w:right w:w="100" w:type="dxa"/>
            </w:tcMar>
          </w:tcPr>
          <w:p w14:paraId="57BD704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1989DCB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445F82FD" w14:textId="77777777" w:rsidTr="0057655F">
        <w:trPr>
          <w:trHeight w:val="24"/>
        </w:trPr>
        <w:tc>
          <w:tcPr>
            <w:tcW w:w="1136" w:type="pct"/>
            <w:tcMar>
              <w:top w:w="100" w:type="dxa"/>
              <w:left w:w="100" w:type="dxa"/>
              <w:bottom w:w="100" w:type="dxa"/>
              <w:right w:w="100" w:type="dxa"/>
            </w:tcMar>
          </w:tcPr>
          <w:p w14:paraId="0FE4A58D"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Audia</w:t>
            </w:r>
            <w:proofErr w:type="spellEnd"/>
            <w:r>
              <w:rPr>
                <w:rFonts w:ascii="Times New Roman" w:eastAsia="Times New Roman" w:hAnsi="Times New Roman" w:cs="Times New Roman"/>
              </w:rPr>
              <w:t xml:space="preserve"> et al., 2000</w:t>
            </w:r>
          </w:p>
        </w:tc>
        <w:tc>
          <w:tcPr>
            <w:tcW w:w="1446" w:type="pct"/>
            <w:tcMar>
              <w:top w:w="100" w:type="dxa"/>
              <w:left w:w="100" w:type="dxa"/>
              <w:bottom w:w="100" w:type="dxa"/>
              <w:right w:w="100" w:type="dxa"/>
            </w:tcMar>
          </w:tcPr>
          <w:p w14:paraId="51AFD9A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150 observations</w:t>
            </w:r>
          </w:p>
        </w:tc>
        <w:tc>
          <w:tcPr>
            <w:tcW w:w="618" w:type="pct"/>
            <w:tcMar>
              <w:top w:w="100" w:type="dxa"/>
              <w:left w:w="100" w:type="dxa"/>
              <w:bottom w:w="100" w:type="dxa"/>
              <w:right w:w="100" w:type="dxa"/>
            </w:tcMar>
          </w:tcPr>
          <w:p w14:paraId="623CD34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1974-1985</w:t>
            </w:r>
          </w:p>
        </w:tc>
        <w:tc>
          <w:tcPr>
            <w:tcW w:w="1056" w:type="pct"/>
            <w:tcMar>
              <w:top w:w="100" w:type="dxa"/>
              <w:left w:w="100" w:type="dxa"/>
              <w:bottom w:w="100" w:type="dxa"/>
              <w:right w:w="100" w:type="dxa"/>
            </w:tcMar>
          </w:tcPr>
          <w:p w14:paraId="5282F45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04E4460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4906C5E3" w14:textId="77777777" w:rsidTr="0057655F">
        <w:trPr>
          <w:trHeight w:val="24"/>
        </w:trPr>
        <w:tc>
          <w:tcPr>
            <w:tcW w:w="1136" w:type="pct"/>
            <w:tcMar>
              <w:top w:w="100" w:type="dxa"/>
              <w:left w:w="100" w:type="dxa"/>
              <w:bottom w:w="100" w:type="dxa"/>
              <w:right w:w="100" w:type="dxa"/>
            </w:tcMar>
          </w:tcPr>
          <w:p w14:paraId="1F30F4D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Barreto, 2012 </w:t>
            </w:r>
          </w:p>
        </w:tc>
        <w:tc>
          <w:tcPr>
            <w:tcW w:w="1446" w:type="pct"/>
            <w:tcMar>
              <w:top w:w="100" w:type="dxa"/>
              <w:left w:w="100" w:type="dxa"/>
              <w:bottom w:w="100" w:type="dxa"/>
              <w:right w:w="100" w:type="dxa"/>
            </w:tcMar>
          </w:tcPr>
          <w:p w14:paraId="342D6FD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21 banks, 25,452 observations</w:t>
            </w:r>
          </w:p>
        </w:tc>
        <w:tc>
          <w:tcPr>
            <w:tcW w:w="618" w:type="pct"/>
            <w:tcMar>
              <w:top w:w="100" w:type="dxa"/>
              <w:left w:w="100" w:type="dxa"/>
              <w:bottom w:w="100" w:type="dxa"/>
              <w:right w:w="100" w:type="dxa"/>
            </w:tcMar>
          </w:tcPr>
          <w:p w14:paraId="4E274FA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1991-1994</w:t>
            </w:r>
          </w:p>
        </w:tc>
        <w:tc>
          <w:tcPr>
            <w:tcW w:w="1056" w:type="pct"/>
            <w:tcMar>
              <w:top w:w="100" w:type="dxa"/>
              <w:left w:w="100" w:type="dxa"/>
              <w:bottom w:w="100" w:type="dxa"/>
              <w:right w:w="100" w:type="dxa"/>
            </w:tcMar>
          </w:tcPr>
          <w:p w14:paraId="5526E83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50A79B8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590A3358" w14:textId="77777777" w:rsidTr="0057655F">
        <w:trPr>
          <w:trHeight w:val="24"/>
        </w:trPr>
        <w:tc>
          <w:tcPr>
            <w:tcW w:w="1136" w:type="pct"/>
            <w:tcMar>
              <w:top w:w="100" w:type="dxa"/>
              <w:left w:w="100" w:type="dxa"/>
              <w:bottom w:w="100" w:type="dxa"/>
              <w:right w:w="100" w:type="dxa"/>
            </w:tcMar>
          </w:tcPr>
          <w:p w14:paraId="23E27D9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Baum and Dahlin, 2007 </w:t>
            </w:r>
          </w:p>
        </w:tc>
        <w:tc>
          <w:tcPr>
            <w:tcW w:w="1446" w:type="pct"/>
            <w:tcMar>
              <w:top w:w="100" w:type="dxa"/>
              <w:left w:w="100" w:type="dxa"/>
              <w:bottom w:w="100" w:type="dxa"/>
              <w:right w:w="100" w:type="dxa"/>
            </w:tcMar>
          </w:tcPr>
          <w:p w14:paraId="42F9DC4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189 observations</w:t>
            </w:r>
          </w:p>
        </w:tc>
        <w:tc>
          <w:tcPr>
            <w:tcW w:w="618" w:type="pct"/>
            <w:tcMar>
              <w:top w:w="100" w:type="dxa"/>
              <w:left w:w="100" w:type="dxa"/>
              <w:bottom w:w="100" w:type="dxa"/>
              <w:right w:w="100" w:type="dxa"/>
            </w:tcMar>
          </w:tcPr>
          <w:p w14:paraId="0685883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1975-2001</w:t>
            </w:r>
          </w:p>
        </w:tc>
        <w:tc>
          <w:tcPr>
            <w:tcW w:w="1056" w:type="pct"/>
            <w:tcMar>
              <w:top w:w="100" w:type="dxa"/>
              <w:left w:w="100" w:type="dxa"/>
              <w:bottom w:w="100" w:type="dxa"/>
              <w:right w:w="100" w:type="dxa"/>
            </w:tcMar>
          </w:tcPr>
          <w:p w14:paraId="4BC82ED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59BA3ED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1B5A8F6D" w14:textId="77777777" w:rsidTr="0057655F">
        <w:trPr>
          <w:trHeight w:val="24"/>
        </w:trPr>
        <w:tc>
          <w:tcPr>
            <w:tcW w:w="1136" w:type="pct"/>
            <w:tcMar>
              <w:top w:w="100" w:type="dxa"/>
              <w:left w:w="100" w:type="dxa"/>
              <w:bottom w:w="100" w:type="dxa"/>
              <w:right w:w="100" w:type="dxa"/>
            </w:tcMar>
          </w:tcPr>
          <w:p w14:paraId="7760A45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Baum et al., 2005 </w:t>
            </w:r>
          </w:p>
        </w:tc>
        <w:tc>
          <w:tcPr>
            <w:tcW w:w="1446" w:type="pct"/>
            <w:tcMar>
              <w:top w:w="100" w:type="dxa"/>
              <w:left w:w="100" w:type="dxa"/>
              <w:bottom w:w="100" w:type="dxa"/>
              <w:right w:w="100" w:type="dxa"/>
            </w:tcMar>
          </w:tcPr>
          <w:p w14:paraId="518E651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375 firms, 2,465 observations</w:t>
            </w:r>
          </w:p>
        </w:tc>
        <w:tc>
          <w:tcPr>
            <w:tcW w:w="618" w:type="pct"/>
            <w:tcMar>
              <w:top w:w="100" w:type="dxa"/>
              <w:left w:w="100" w:type="dxa"/>
              <w:bottom w:w="100" w:type="dxa"/>
              <w:right w:w="100" w:type="dxa"/>
            </w:tcMar>
          </w:tcPr>
          <w:p w14:paraId="5ECA07F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1952-1990</w:t>
            </w:r>
          </w:p>
        </w:tc>
        <w:tc>
          <w:tcPr>
            <w:tcW w:w="1056" w:type="pct"/>
            <w:tcMar>
              <w:top w:w="100" w:type="dxa"/>
              <w:left w:w="100" w:type="dxa"/>
              <w:bottom w:w="100" w:type="dxa"/>
              <w:right w:w="100" w:type="dxa"/>
            </w:tcMar>
          </w:tcPr>
          <w:p w14:paraId="079F6C7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Similar firms in terms of size and specialization</w:t>
            </w:r>
          </w:p>
        </w:tc>
        <w:tc>
          <w:tcPr>
            <w:tcW w:w="744" w:type="pct"/>
          </w:tcPr>
          <w:p w14:paraId="0A0FCDE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6469C2F4" w14:textId="77777777" w:rsidTr="0057655F">
        <w:trPr>
          <w:trHeight w:val="24"/>
        </w:trPr>
        <w:tc>
          <w:tcPr>
            <w:tcW w:w="1136" w:type="pct"/>
            <w:tcMar>
              <w:top w:w="100" w:type="dxa"/>
              <w:left w:w="100" w:type="dxa"/>
              <w:bottom w:w="100" w:type="dxa"/>
              <w:right w:w="100" w:type="dxa"/>
            </w:tcMar>
          </w:tcPr>
          <w:p w14:paraId="7C3D1C2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Ben-Oz and </w:t>
            </w:r>
            <w:proofErr w:type="spellStart"/>
            <w:r>
              <w:rPr>
                <w:rFonts w:ascii="Times New Roman" w:eastAsia="Times New Roman" w:hAnsi="Times New Roman" w:cs="Times New Roman"/>
              </w:rPr>
              <w:t>Greve</w:t>
            </w:r>
            <w:proofErr w:type="spellEnd"/>
            <w:r>
              <w:rPr>
                <w:rFonts w:ascii="Times New Roman" w:eastAsia="Times New Roman" w:hAnsi="Times New Roman" w:cs="Times New Roman"/>
              </w:rPr>
              <w:t xml:space="preserve">, 2015 </w:t>
            </w:r>
          </w:p>
        </w:tc>
        <w:tc>
          <w:tcPr>
            <w:tcW w:w="1446" w:type="pct"/>
            <w:tcMar>
              <w:top w:w="100" w:type="dxa"/>
              <w:left w:w="100" w:type="dxa"/>
              <w:bottom w:w="100" w:type="dxa"/>
              <w:right w:w="100" w:type="dxa"/>
            </w:tcMar>
          </w:tcPr>
          <w:p w14:paraId="4F6D7F3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252 observations</w:t>
            </w:r>
          </w:p>
        </w:tc>
        <w:tc>
          <w:tcPr>
            <w:tcW w:w="618" w:type="pct"/>
            <w:tcMar>
              <w:top w:w="100" w:type="dxa"/>
              <w:left w:w="100" w:type="dxa"/>
              <w:bottom w:w="100" w:type="dxa"/>
              <w:right w:w="100" w:type="dxa"/>
            </w:tcMar>
          </w:tcPr>
          <w:p w14:paraId="36B6882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 2007</w:t>
            </w:r>
          </w:p>
        </w:tc>
        <w:tc>
          <w:tcPr>
            <w:tcW w:w="1056" w:type="pct"/>
            <w:tcMar>
              <w:top w:w="100" w:type="dxa"/>
              <w:left w:w="100" w:type="dxa"/>
              <w:bottom w:w="100" w:type="dxa"/>
              <w:right w:w="100" w:type="dxa"/>
            </w:tcMar>
          </w:tcPr>
          <w:p w14:paraId="1391D68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Comparable firms based on managers (surveys)</w:t>
            </w:r>
          </w:p>
        </w:tc>
        <w:tc>
          <w:tcPr>
            <w:tcW w:w="744" w:type="pct"/>
          </w:tcPr>
          <w:p w14:paraId="5CDEA4E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0EC3EF03" w14:textId="77777777" w:rsidTr="0057655F">
        <w:trPr>
          <w:trHeight w:val="24"/>
        </w:trPr>
        <w:tc>
          <w:tcPr>
            <w:tcW w:w="1136" w:type="pct"/>
            <w:tcMar>
              <w:top w:w="100" w:type="dxa"/>
              <w:left w:w="100" w:type="dxa"/>
              <w:bottom w:w="100" w:type="dxa"/>
              <w:right w:w="100" w:type="dxa"/>
            </w:tcMar>
          </w:tcPr>
          <w:p w14:paraId="486906F2" w14:textId="77777777" w:rsidR="00750C42" w:rsidRDefault="00750C42" w:rsidP="0057655F">
            <w:pPr>
              <w:jc w:val="center"/>
              <w:rPr>
                <w:rFonts w:ascii="Times New Roman" w:eastAsia="Times New Roman" w:hAnsi="Times New Roman" w:cs="Times New Roman"/>
              </w:rPr>
            </w:pPr>
            <w:proofErr w:type="spellStart"/>
            <w:r w:rsidRPr="000A6CBF">
              <w:rPr>
                <w:rFonts w:ascii="Times New Roman" w:eastAsia="Times New Roman" w:hAnsi="Times New Roman" w:cs="Times New Roman"/>
              </w:rPr>
              <w:t>Borgholthaus</w:t>
            </w:r>
            <w:proofErr w:type="spellEnd"/>
            <w:r w:rsidRPr="000A6CBF">
              <w:rPr>
                <w:rFonts w:ascii="Times New Roman" w:eastAsia="Times New Roman" w:hAnsi="Times New Roman" w:cs="Times New Roman"/>
              </w:rPr>
              <w:t xml:space="preserve"> et al.</w:t>
            </w:r>
            <w:r>
              <w:rPr>
                <w:rFonts w:ascii="Times New Roman" w:eastAsia="Times New Roman" w:hAnsi="Times New Roman" w:cs="Times New Roman"/>
              </w:rPr>
              <w:t xml:space="preserve">, 2021 </w:t>
            </w:r>
          </w:p>
        </w:tc>
        <w:tc>
          <w:tcPr>
            <w:tcW w:w="1446" w:type="pct"/>
            <w:tcMar>
              <w:top w:w="100" w:type="dxa"/>
              <w:left w:w="100" w:type="dxa"/>
              <w:bottom w:w="100" w:type="dxa"/>
              <w:right w:w="100" w:type="dxa"/>
            </w:tcMar>
          </w:tcPr>
          <w:p w14:paraId="003C58D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646 firms, 3,032 observations</w:t>
            </w:r>
          </w:p>
        </w:tc>
        <w:tc>
          <w:tcPr>
            <w:tcW w:w="618" w:type="pct"/>
            <w:tcMar>
              <w:top w:w="100" w:type="dxa"/>
              <w:left w:w="100" w:type="dxa"/>
              <w:bottom w:w="100" w:type="dxa"/>
              <w:right w:w="100" w:type="dxa"/>
            </w:tcMar>
          </w:tcPr>
          <w:p w14:paraId="262A062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2008-2017</w:t>
            </w:r>
          </w:p>
        </w:tc>
        <w:tc>
          <w:tcPr>
            <w:tcW w:w="1056" w:type="pct"/>
            <w:tcMar>
              <w:top w:w="100" w:type="dxa"/>
              <w:left w:w="100" w:type="dxa"/>
              <w:bottom w:w="100" w:type="dxa"/>
              <w:right w:w="100" w:type="dxa"/>
            </w:tcMar>
          </w:tcPr>
          <w:p w14:paraId="353AE74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2FC7603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29008333" w14:textId="77777777" w:rsidTr="0057655F">
        <w:trPr>
          <w:trHeight w:val="24"/>
        </w:trPr>
        <w:tc>
          <w:tcPr>
            <w:tcW w:w="1136" w:type="pct"/>
            <w:tcMar>
              <w:top w:w="100" w:type="dxa"/>
              <w:left w:w="100" w:type="dxa"/>
              <w:bottom w:w="100" w:type="dxa"/>
              <w:right w:w="100" w:type="dxa"/>
            </w:tcMar>
          </w:tcPr>
          <w:p w14:paraId="0DB4FA5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Boyle and Shapira, 2012 </w:t>
            </w:r>
          </w:p>
        </w:tc>
        <w:tc>
          <w:tcPr>
            <w:tcW w:w="1446" w:type="pct"/>
            <w:tcMar>
              <w:top w:w="100" w:type="dxa"/>
              <w:left w:w="100" w:type="dxa"/>
              <w:bottom w:w="100" w:type="dxa"/>
              <w:right w:w="100" w:type="dxa"/>
            </w:tcMar>
          </w:tcPr>
          <w:p w14:paraId="72F3C00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112 observations</w:t>
            </w:r>
          </w:p>
        </w:tc>
        <w:tc>
          <w:tcPr>
            <w:tcW w:w="618" w:type="pct"/>
            <w:tcMar>
              <w:top w:w="100" w:type="dxa"/>
              <w:left w:w="100" w:type="dxa"/>
              <w:bottom w:w="100" w:type="dxa"/>
              <w:right w:w="100" w:type="dxa"/>
            </w:tcMar>
          </w:tcPr>
          <w:p w14:paraId="0C1BAFA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1990-1999</w:t>
            </w:r>
          </w:p>
        </w:tc>
        <w:tc>
          <w:tcPr>
            <w:tcW w:w="1056" w:type="pct"/>
            <w:tcMar>
              <w:top w:w="100" w:type="dxa"/>
              <w:left w:w="100" w:type="dxa"/>
              <w:bottom w:w="100" w:type="dxa"/>
              <w:right w:w="100" w:type="dxa"/>
            </w:tcMar>
          </w:tcPr>
          <w:p w14:paraId="1D2D858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Top competitors at </w:t>
            </w:r>
            <w:r w:rsidRPr="006B201B">
              <w:rPr>
                <w:rFonts w:ascii="Times New Roman" w:eastAsia="Times New Roman" w:hAnsi="Times New Roman" w:cs="Times New Roman"/>
                <w:i/>
                <w:iCs/>
              </w:rPr>
              <w:t>Jeopardy</w:t>
            </w:r>
          </w:p>
        </w:tc>
        <w:tc>
          <w:tcPr>
            <w:tcW w:w="744" w:type="pct"/>
          </w:tcPr>
          <w:p w14:paraId="7668AEA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Self-improvement</w:t>
            </w:r>
          </w:p>
        </w:tc>
      </w:tr>
      <w:tr w:rsidR="00750C42" w14:paraId="28ABE568" w14:textId="77777777" w:rsidTr="0057655F">
        <w:trPr>
          <w:trHeight w:val="24"/>
        </w:trPr>
        <w:tc>
          <w:tcPr>
            <w:tcW w:w="1136" w:type="pct"/>
            <w:tcMar>
              <w:top w:w="100" w:type="dxa"/>
              <w:left w:w="100" w:type="dxa"/>
              <w:bottom w:w="100" w:type="dxa"/>
              <w:right w:w="100" w:type="dxa"/>
            </w:tcMar>
          </w:tcPr>
          <w:p w14:paraId="13B6093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Bromiley and Washburn, 2011</w:t>
            </w:r>
          </w:p>
          <w:p w14:paraId="498CDDC5" w14:textId="77777777" w:rsidR="00750C42" w:rsidRDefault="00750C42" w:rsidP="0057655F">
            <w:pPr>
              <w:jc w:val="center"/>
              <w:rPr>
                <w:rFonts w:ascii="Times New Roman" w:eastAsia="Times New Roman" w:hAnsi="Times New Roman" w:cs="Times New Roman"/>
              </w:rPr>
            </w:pPr>
          </w:p>
        </w:tc>
        <w:tc>
          <w:tcPr>
            <w:tcW w:w="1446" w:type="pct"/>
            <w:tcMar>
              <w:top w:w="100" w:type="dxa"/>
              <w:left w:w="100" w:type="dxa"/>
              <w:bottom w:w="100" w:type="dxa"/>
              <w:right w:w="100" w:type="dxa"/>
            </w:tcMar>
          </w:tcPr>
          <w:p w14:paraId="3C24B76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1,366 firms, 22,189 observations</w:t>
            </w:r>
          </w:p>
        </w:tc>
        <w:tc>
          <w:tcPr>
            <w:tcW w:w="618" w:type="pct"/>
            <w:tcMar>
              <w:top w:w="100" w:type="dxa"/>
              <w:left w:w="100" w:type="dxa"/>
              <w:bottom w:w="100" w:type="dxa"/>
              <w:right w:w="100" w:type="dxa"/>
            </w:tcMar>
          </w:tcPr>
          <w:p w14:paraId="679C559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1977-1997</w:t>
            </w:r>
          </w:p>
        </w:tc>
        <w:tc>
          <w:tcPr>
            <w:tcW w:w="1056" w:type="pct"/>
            <w:tcMar>
              <w:top w:w="100" w:type="dxa"/>
              <w:left w:w="100" w:type="dxa"/>
              <w:bottom w:w="100" w:type="dxa"/>
              <w:right w:w="100" w:type="dxa"/>
            </w:tcMar>
          </w:tcPr>
          <w:p w14:paraId="738C48A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67CC6E2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49649EB9" w14:textId="77777777" w:rsidTr="0057655F">
        <w:trPr>
          <w:trHeight w:val="83"/>
        </w:trPr>
        <w:tc>
          <w:tcPr>
            <w:tcW w:w="1136" w:type="pct"/>
            <w:tcMar>
              <w:top w:w="100" w:type="dxa"/>
              <w:left w:w="100" w:type="dxa"/>
              <w:bottom w:w="100" w:type="dxa"/>
              <w:right w:w="100" w:type="dxa"/>
            </w:tcMar>
          </w:tcPr>
          <w:p w14:paraId="658C8292"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lastRenderedPageBreak/>
              <w:t>Calabrò</w:t>
            </w:r>
            <w:proofErr w:type="spellEnd"/>
            <w:r>
              <w:rPr>
                <w:rFonts w:ascii="Times New Roman" w:eastAsia="Times New Roman" w:hAnsi="Times New Roman" w:cs="Times New Roman"/>
              </w:rPr>
              <w:t xml:space="preserve"> et al., 2018 </w:t>
            </w:r>
          </w:p>
        </w:tc>
        <w:tc>
          <w:tcPr>
            <w:tcW w:w="1446" w:type="pct"/>
            <w:tcMar>
              <w:top w:w="100" w:type="dxa"/>
              <w:left w:w="100" w:type="dxa"/>
              <w:bottom w:w="100" w:type="dxa"/>
              <w:right w:w="100" w:type="dxa"/>
            </w:tcMar>
          </w:tcPr>
          <w:p w14:paraId="5A7A194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432 observations</w:t>
            </w:r>
          </w:p>
        </w:tc>
        <w:tc>
          <w:tcPr>
            <w:tcW w:w="618" w:type="pct"/>
            <w:tcMar>
              <w:top w:w="100" w:type="dxa"/>
              <w:left w:w="100" w:type="dxa"/>
              <w:bottom w:w="100" w:type="dxa"/>
              <w:right w:w="100" w:type="dxa"/>
            </w:tcMar>
          </w:tcPr>
          <w:p w14:paraId="19292E8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2000-2014</w:t>
            </w:r>
          </w:p>
        </w:tc>
        <w:tc>
          <w:tcPr>
            <w:tcW w:w="1056" w:type="pct"/>
            <w:tcMar>
              <w:top w:w="100" w:type="dxa"/>
              <w:left w:w="100" w:type="dxa"/>
              <w:bottom w:w="100" w:type="dxa"/>
              <w:right w:w="100" w:type="dxa"/>
            </w:tcMar>
          </w:tcPr>
          <w:p w14:paraId="5BEBF56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06320E8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642D471B" w14:textId="77777777" w:rsidTr="0057655F">
        <w:trPr>
          <w:trHeight w:val="236"/>
        </w:trPr>
        <w:tc>
          <w:tcPr>
            <w:tcW w:w="1136" w:type="pct"/>
            <w:tcMar>
              <w:top w:w="100" w:type="dxa"/>
              <w:left w:w="100" w:type="dxa"/>
              <w:bottom w:w="100" w:type="dxa"/>
              <w:right w:w="100" w:type="dxa"/>
            </w:tcMar>
          </w:tcPr>
          <w:p w14:paraId="3429E9D6"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Castellanata</w:t>
            </w:r>
            <w:proofErr w:type="spellEnd"/>
            <w:r>
              <w:rPr>
                <w:rFonts w:ascii="Times New Roman" w:eastAsia="Times New Roman" w:hAnsi="Times New Roman" w:cs="Times New Roman"/>
              </w:rPr>
              <w:t xml:space="preserve"> et al., 2015 </w:t>
            </w:r>
          </w:p>
        </w:tc>
        <w:tc>
          <w:tcPr>
            <w:tcW w:w="1446" w:type="pct"/>
            <w:tcMar>
              <w:top w:w="100" w:type="dxa"/>
              <w:left w:w="100" w:type="dxa"/>
              <w:bottom w:w="100" w:type="dxa"/>
              <w:right w:w="100" w:type="dxa"/>
            </w:tcMar>
          </w:tcPr>
          <w:p w14:paraId="46FC8D4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265 firms, 7,223 observations</w:t>
            </w:r>
          </w:p>
        </w:tc>
        <w:tc>
          <w:tcPr>
            <w:tcW w:w="618" w:type="pct"/>
            <w:tcMar>
              <w:top w:w="100" w:type="dxa"/>
              <w:left w:w="100" w:type="dxa"/>
              <w:bottom w:w="100" w:type="dxa"/>
              <w:right w:w="100" w:type="dxa"/>
            </w:tcMar>
          </w:tcPr>
          <w:p w14:paraId="61C4FB7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1973-2008</w:t>
            </w:r>
          </w:p>
        </w:tc>
        <w:tc>
          <w:tcPr>
            <w:tcW w:w="1056" w:type="pct"/>
            <w:tcMar>
              <w:top w:w="100" w:type="dxa"/>
              <w:left w:w="100" w:type="dxa"/>
              <w:bottom w:w="100" w:type="dxa"/>
              <w:right w:w="100" w:type="dxa"/>
            </w:tcMar>
          </w:tcPr>
          <w:p w14:paraId="5CF0DFA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1FC1AD9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598F32FA" w14:textId="77777777" w:rsidTr="0057655F">
        <w:trPr>
          <w:trHeight w:val="740"/>
        </w:trPr>
        <w:tc>
          <w:tcPr>
            <w:tcW w:w="1136" w:type="pct"/>
            <w:tcMar>
              <w:top w:w="100" w:type="dxa"/>
              <w:left w:w="100" w:type="dxa"/>
              <w:bottom w:w="100" w:type="dxa"/>
              <w:right w:w="100" w:type="dxa"/>
            </w:tcMar>
          </w:tcPr>
          <w:p w14:paraId="380DBB10"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Ceci</w:t>
            </w:r>
            <w:proofErr w:type="spellEnd"/>
            <w:r>
              <w:rPr>
                <w:rFonts w:ascii="Times New Roman" w:eastAsia="Times New Roman" w:hAnsi="Times New Roman" w:cs="Times New Roman"/>
              </w:rPr>
              <w:t xml:space="preserve"> et al., 2012 </w:t>
            </w:r>
          </w:p>
        </w:tc>
        <w:tc>
          <w:tcPr>
            <w:tcW w:w="1446" w:type="pct"/>
            <w:tcMar>
              <w:top w:w="100" w:type="dxa"/>
              <w:left w:w="100" w:type="dxa"/>
              <w:bottom w:w="100" w:type="dxa"/>
              <w:right w:w="100" w:type="dxa"/>
            </w:tcMar>
          </w:tcPr>
          <w:p w14:paraId="01CE300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800 firms, 2,265 observations</w:t>
            </w:r>
          </w:p>
        </w:tc>
        <w:tc>
          <w:tcPr>
            <w:tcW w:w="618" w:type="pct"/>
            <w:tcMar>
              <w:top w:w="100" w:type="dxa"/>
              <w:left w:w="100" w:type="dxa"/>
              <w:bottom w:w="100" w:type="dxa"/>
              <w:right w:w="100" w:type="dxa"/>
            </w:tcMar>
          </w:tcPr>
          <w:p w14:paraId="5E144C0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2001-2006</w:t>
            </w:r>
          </w:p>
        </w:tc>
        <w:tc>
          <w:tcPr>
            <w:tcW w:w="1056" w:type="pct"/>
            <w:tcMar>
              <w:top w:w="100" w:type="dxa"/>
              <w:left w:w="100" w:type="dxa"/>
              <w:bottom w:w="100" w:type="dxa"/>
              <w:right w:w="100" w:type="dxa"/>
            </w:tcMar>
          </w:tcPr>
          <w:p w14:paraId="4BB4EB0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76A9578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2A0D93D7" w14:textId="77777777" w:rsidTr="0057655F">
        <w:trPr>
          <w:trHeight w:val="24"/>
        </w:trPr>
        <w:tc>
          <w:tcPr>
            <w:tcW w:w="1136" w:type="pct"/>
            <w:tcMar>
              <w:top w:w="100" w:type="dxa"/>
              <w:left w:w="100" w:type="dxa"/>
              <w:bottom w:w="100" w:type="dxa"/>
              <w:right w:w="100" w:type="dxa"/>
            </w:tcMar>
          </w:tcPr>
          <w:p w14:paraId="65A37A5C"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Ceci</w:t>
            </w:r>
            <w:proofErr w:type="spellEnd"/>
            <w:r>
              <w:rPr>
                <w:rFonts w:ascii="Times New Roman" w:eastAsia="Times New Roman" w:hAnsi="Times New Roman" w:cs="Times New Roman"/>
              </w:rPr>
              <w:t xml:space="preserve"> et al., 2016 </w:t>
            </w:r>
          </w:p>
        </w:tc>
        <w:tc>
          <w:tcPr>
            <w:tcW w:w="1446" w:type="pct"/>
            <w:tcMar>
              <w:top w:w="100" w:type="dxa"/>
              <w:left w:w="100" w:type="dxa"/>
              <w:bottom w:w="100" w:type="dxa"/>
              <w:right w:w="100" w:type="dxa"/>
            </w:tcMar>
          </w:tcPr>
          <w:p w14:paraId="4B99F79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762 observations</w:t>
            </w:r>
          </w:p>
        </w:tc>
        <w:tc>
          <w:tcPr>
            <w:tcW w:w="618" w:type="pct"/>
            <w:tcMar>
              <w:top w:w="100" w:type="dxa"/>
              <w:left w:w="100" w:type="dxa"/>
              <w:bottom w:w="100" w:type="dxa"/>
              <w:right w:w="100" w:type="dxa"/>
            </w:tcMar>
          </w:tcPr>
          <w:p w14:paraId="6CBBF90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2001-2006</w:t>
            </w:r>
          </w:p>
        </w:tc>
        <w:tc>
          <w:tcPr>
            <w:tcW w:w="1056" w:type="pct"/>
            <w:tcMar>
              <w:top w:w="100" w:type="dxa"/>
              <w:left w:w="100" w:type="dxa"/>
              <w:bottom w:w="100" w:type="dxa"/>
              <w:right w:w="100" w:type="dxa"/>
            </w:tcMar>
          </w:tcPr>
          <w:p w14:paraId="024C681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4842143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19397FCA" w14:textId="77777777" w:rsidTr="0057655F">
        <w:trPr>
          <w:trHeight w:val="24"/>
        </w:trPr>
        <w:tc>
          <w:tcPr>
            <w:tcW w:w="1136" w:type="pct"/>
            <w:tcMar>
              <w:top w:w="100" w:type="dxa"/>
              <w:left w:w="100" w:type="dxa"/>
              <w:bottom w:w="100" w:type="dxa"/>
              <w:right w:w="100" w:type="dxa"/>
            </w:tcMar>
          </w:tcPr>
          <w:p w14:paraId="65ED692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Chen, 2008 </w:t>
            </w:r>
          </w:p>
        </w:tc>
        <w:tc>
          <w:tcPr>
            <w:tcW w:w="1446" w:type="pct"/>
            <w:tcMar>
              <w:top w:w="100" w:type="dxa"/>
              <w:left w:w="100" w:type="dxa"/>
              <w:bottom w:w="100" w:type="dxa"/>
              <w:right w:w="100" w:type="dxa"/>
            </w:tcMar>
          </w:tcPr>
          <w:p w14:paraId="5FE728D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15,171 observations</w:t>
            </w:r>
          </w:p>
        </w:tc>
        <w:tc>
          <w:tcPr>
            <w:tcW w:w="618" w:type="pct"/>
            <w:tcMar>
              <w:top w:w="100" w:type="dxa"/>
              <w:left w:w="100" w:type="dxa"/>
              <w:bottom w:w="100" w:type="dxa"/>
              <w:right w:w="100" w:type="dxa"/>
            </w:tcMar>
          </w:tcPr>
          <w:p w14:paraId="4217E5F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1980-2001</w:t>
            </w:r>
          </w:p>
        </w:tc>
        <w:tc>
          <w:tcPr>
            <w:tcW w:w="1056" w:type="pct"/>
            <w:tcMar>
              <w:top w:w="100" w:type="dxa"/>
              <w:left w:w="100" w:type="dxa"/>
              <w:bottom w:w="100" w:type="dxa"/>
              <w:right w:w="100" w:type="dxa"/>
            </w:tcMar>
          </w:tcPr>
          <w:p w14:paraId="29DD8D8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338BE76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7CDD5E61" w14:textId="77777777" w:rsidTr="0057655F">
        <w:trPr>
          <w:trHeight w:val="24"/>
        </w:trPr>
        <w:tc>
          <w:tcPr>
            <w:tcW w:w="1136" w:type="pct"/>
            <w:tcMar>
              <w:top w:w="100" w:type="dxa"/>
              <w:left w:w="100" w:type="dxa"/>
              <w:bottom w:w="100" w:type="dxa"/>
              <w:right w:w="100" w:type="dxa"/>
            </w:tcMar>
          </w:tcPr>
          <w:p w14:paraId="4DE8174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Chen and Li, 2021 </w:t>
            </w:r>
          </w:p>
        </w:tc>
        <w:tc>
          <w:tcPr>
            <w:tcW w:w="1446" w:type="pct"/>
            <w:tcMar>
              <w:top w:w="100" w:type="dxa"/>
              <w:left w:w="100" w:type="dxa"/>
              <w:bottom w:w="100" w:type="dxa"/>
              <w:right w:w="100" w:type="dxa"/>
            </w:tcMar>
          </w:tcPr>
          <w:p w14:paraId="5BD2407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711 observations</w:t>
            </w:r>
          </w:p>
        </w:tc>
        <w:tc>
          <w:tcPr>
            <w:tcW w:w="618" w:type="pct"/>
            <w:tcMar>
              <w:top w:w="100" w:type="dxa"/>
              <w:left w:w="100" w:type="dxa"/>
              <w:bottom w:w="100" w:type="dxa"/>
              <w:right w:w="100" w:type="dxa"/>
            </w:tcMar>
          </w:tcPr>
          <w:p w14:paraId="2C009D4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2008-2015</w:t>
            </w:r>
          </w:p>
        </w:tc>
        <w:tc>
          <w:tcPr>
            <w:tcW w:w="1056" w:type="pct"/>
            <w:tcMar>
              <w:top w:w="100" w:type="dxa"/>
              <w:left w:w="100" w:type="dxa"/>
              <w:bottom w:w="100" w:type="dxa"/>
              <w:right w:w="100" w:type="dxa"/>
            </w:tcMar>
          </w:tcPr>
          <w:p w14:paraId="2E9E8A8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13353FC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6086CDCB" w14:textId="77777777" w:rsidTr="0057655F">
        <w:trPr>
          <w:trHeight w:val="24"/>
        </w:trPr>
        <w:tc>
          <w:tcPr>
            <w:tcW w:w="1136" w:type="pct"/>
            <w:tcMar>
              <w:top w:w="100" w:type="dxa"/>
              <w:left w:w="100" w:type="dxa"/>
              <w:bottom w:w="100" w:type="dxa"/>
              <w:right w:w="100" w:type="dxa"/>
            </w:tcMar>
          </w:tcPr>
          <w:p w14:paraId="537AB74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Cheng et al., 2021 </w:t>
            </w:r>
          </w:p>
        </w:tc>
        <w:tc>
          <w:tcPr>
            <w:tcW w:w="1446" w:type="pct"/>
            <w:tcMar>
              <w:top w:w="100" w:type="dxa"/>
              <w:left w:w="100" w:type="dxa"/>
              <w:bottom w:w="100" w:type="dxa"/>
              <w:right w:w="100" w:type="dxa"/>
            </w:tcMar>
          </w:tcPr>
          <w:p w14:paraId="25D7262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 1,558 firms, 7,460 observations</w:t>
            </w:r>
          </w:p>
        </w:tc>
        <w:tc>
          <w:tcPr>
            <w:tcW w:w="618" w:type="pct"/>
            <w:tcMar>
              <w:top w:w="100" w:type="dxa"/>
              <w:left w:w="100" w:type="dxa"/>
              <w:bottom w:w="100" w:type="dxa"/>
              <w:right w:w="100" w:type="dxa"/>
            </w:tcMar>
          </w:tcPr>
          <w:p w14:paraId="49DF281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2011-2017</w:t>
            </w:r>
          </w:p>
        </w:tc>
        <w:tc>
          <w:tcPr>
            <w:tcW w:w="1056" w:type="pct"/>
            <w:tcMar>
              <w:top w:w="100" w:type="dxa"/>
              <w:left w:w="100" w:type="dxa"/>
              <w:bottom w:w="100" w:type="dxa"/>
              <w:right w:w="100" w:type="dxa"/>
            </w:tcMar>
          </w:tcPr>
          <w:p w14:paraId="1112D61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1AAC56B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19B71C00" w14:textId="77777777" w:rsidTr="0057655F">
        <w:trPr>
          <w:trHeight w:val="24"/>
        </w:trPr>
        <w:tc>
          <w:tcPr>
            <w:tcW w:w="1136" w:type="pct"/>
            <w:tcMar>
              <w:top w:w="100" w:type="dxa"/>
              <w:left w:w="100" w:type="dxa"/>
              <w:bottom w:w="100" w:type="dxa"/>
              <w:right w:w="100" w:type="dxa"/>
            </w:tcMar>
          </w:tcPr>
          <w:p w14:paraId="2E91CA8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Choi et al., 2021 </w:t>
            </w:r>
          </w:p>
        </w:tc>
        <w:tc>
          <w:tcPr>
            <w:tcW w:w="1446" w:type="pct"/>
            <w:tcMar>
              <w:top w:w="100" w:type="dxa"/>
              <w:left w:w="100" w:type="dxa"/>
              <w:bottom w:w="100" w:type="dxa"/>
              <w:right w:w="100" w:type="dxa"/>
            </w:tcMar>
          </w:tcPr>
          <w:p w14:paraId="2A125D9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1,525 firms, 9,566 observations</w:t>
            </w:r>
          </w:p>
        </w:tc>
        <w:tc>
          <w:tcPr>
            <w:tcW w:w="618" w:type="pct"/>
            <w:tcMar>
              <w:top w:w="100" w:type="dxa"/>
              <w:left w:w="100" w:type="dxa"/>
              <w:bottom w:w="100" w:type="dxa"/>
              <w:right w:w="100" w:type="dxa"/>
            </w:tcMar>
          </w:tcPr>
          <w:p w14:paraId="1D9DB34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1992-2005</w:t>
            </w:r>
          </w:p>
        </w:tc>
        <w:tc>
          <w:tcPr>
            <w:tcW w:w="1056" w:type="pct"/>
            <w:tcMar>
              <w:top w:w="100" w:type="dxa"/>
              <w:left w:w="100" w:type="dxa"/>
              <w:bottom w:w="100" w:type="dxa"/>
              <w:right w:w="100" w:type="dxa"/>
            </w:tcMar>
          </w:tcPr>
          <w:p w14:paraId="45F2F4C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14A504D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65B06279" w14:textId="77777777" w:rsidTr="0057655F">
        <w:trPr>
          <w:trHeight w:val="24"/>
        </w:trPr>
        <w:tc>
          <w:tcPr>
            <w:tcW w:w="1136" w:type="pct"/>
            <w:tcMar>
              <w:top w:w="100" w:type="dxa"/>
              <w:left w:w="100" w:type="dxa"/>
              <w:bottom w:w="100" w:type="dxa"/>
              <w:right w:w="100" w:type="dxa"/>
            </w:tcMar>
          </w:tcPr>
          <w:p w14:paraId="20B9DD7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Chrisman and Patel, 2012 </w:t>
            </w:r>
          </w:p>
        </w:tc>
        <w:tc>
          <w:tcPr>
            <w:tcW w:w="1446" w:type="pct"/>
            <w:tcMar>
              <w:top w:w="100" w:type="dxa"/>
              <w:left w:w="100" w:type="dxa"/>
              <w:bottom w:w="100" w:type="dxa"/>
              <w:right w:w="100" w:type="dxa"/>
            </w:tcMar>
          </w:tcPr>
          <w:p w14:paraId="1571807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964 firms, 8,473 observations</w:t>
            </w:r>
          </w:p>
        </w:tc>
        <w:tc>
          <w:tcPr>
            <w:tcW w:w="618" w:type="pct"/>
            <w:tcMar>
              <w:top w:w="100" w:type="dxa"/>
              <w:left w:w="100" w:type="dxa"/>
              <w:bottom w:w="100" w:type="dxa"/>
              <w:right w:w="100" w:type="dxa"/>
            </w:tcMar>
          </w:tcPr>
          <w:p w14:paraId="3E5AEA9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1998-2007</w:t>
            </w:r>
          </w:p>
        </w:tc>
        <w:tc>
          <w:tcPr>
            <w:tcW w:w="1056" w:type="pct"/>
            <w:tcMar>
              <w:top w:w="100" w:type="dxa"/>
              <w:left w:w="100" w:type="dxa"/>
              <w:bottom w:w="100" w:type="dxa"/>
              <w:right w:w="100" w:type="dxa"/>
            </w:tcMar>
          </w:tcPr>
          <w:p w14:paraId="40E7738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0A47205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1B6C3A6B" w14:textId="77777777" w:rsidTr="0057655F">
        <w:trPr>
          <w:trHeight w:val="24"/>
        </w:trPr>
        <w:tc>
          <w:tcPr>
            <w:tcW w:w="1136" w:type="pct"/>
            <w:tcMar>
              <w:top w:w="100" w:type="dxa"/>
              <w:left w:w="100" w:type="dxa"/>
              <w:bottom w:w="100" w:type="dxa"/>
              <w:right w:w="100" w:type="dxa"/>
            </w:tcMar>
          </w:tcPr>
          <w:p w14:paraId="3ABEB6F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Deb et al., 2019 </w:t>
            </w:r>
          </w:p>
        </w:tc>
        <w:tc>
          <w:tcPr>
            <w:tcW w:w="1446" w:type="pct"/>
            <w:tcMar>
              <w:top w:w="100" w:type="dxa"/>
              <w:left w:w="100" w:type="dxa"/>
              <w:bottom w:w="100" w:type="dxa"/>
              <w:right w:w="100" w:type="dxa"/>
            </w:tcMar>
          </w:tcPr>
          <w:p w14:paraId="417EEB7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3,929 firms, 27,984 observations</w:t>
            </w:r>
          </w:p>
        </w:tc>
        <w:tc>
          <w:tcPr>
            <w:tcW w:w="618" w:type="pct"/>
            <w:tcMar>
              <w:top w:w="100" w:type="dxa"/>
              <w:left w:w="100" w:type="dxa"/>
              <w:bottom w:w="100" w:type="dxa"/>
              <w:right w:w="100" w:type="dxa"/>
            </w:tcMar>
          </w:tcPr>
          <w:p w14:paraId="3D1D039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1994-2013</w:t>
            </w:r>
          </w:p>
        </w:tc>
        <w:tc>
          <w:tcPr>
            <w:tcW w:w="1056" w:type="pct"/>
            <w:tcMar>
              <w:top w:w="100" w:type="dxa"/>
              <w:left w:w="100" w:type="dxa"/>
              <w:bottom w:w="100" w:type="dxa"/>
              <w:right w:w="100" w:type="dxa"/>
            </w:tcMar>
          </w:tcPr>
          <w:p w14:paraId="1D20526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7C065EB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12B7022F" w14:textId="77777777" w:rsidTr="0057655F">
        <w:trPr>
          <w:trHeight w:val="24"/>
        </w:trPr>
        <w:tc>
          <w:tcPr>
            <w:tcW w:w="1136" w:type="pct"/>
            <w:tcMar>
              <w:top w:w="100" w:type="dxa"/>
              <w:left w:w="100" w:type="dxa"/>
              <w:bottom w:w="100" w:type="dxa"/>
              <w:right w:w="100" w:type="dxa"/>
            </w:tcMar>
          </w:tcPr>
          <w:p w14:paraId="2209EDA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Delmar and </w:t>
            </w:r>
            <w:proofErr w:type="spellStart"/>
            <w:r>
              <w:rPr>
                <w:rFonts w:ascii="Times New Roman" w:eastAsia="Times New Roman" w:hAnsi="Times New Roman" w:cs="Times New Roman"/>
              </w:rPr>
              <w:t>Wennberg</w:t>
            </w:r>
            <w:proofErr w:type="spellEnd"/>
            <w:r>
              <w:rPr>
                <w:rFonts w:ascii="Times New Roman" w:eastAsia="Times New Roman" w:hAnsi="Times New Roman" w:cs="Times New Roman"/>
              </w:rPr>
              <w:t xml:space="preserve">, 2007 </w:t>
            </w:r>
          </w:p>
        </w:tc>
        <w:tc>
          <w:tcPr>
            <w:tcW w:w="1446" w:type="pct"/>
            <w:tcMar>
              <w:top w:w="100" w:type="dxa"/>
              <w:left w:w="100" w:type="dxa"/>
              <w:bottom w:w="100" w:type="dxa"/>
              <w:right w:w="100" w:type="dxa"/>
            </w:tcMar>
          </w:tcPr>
          <w:p w14:paraId="71EF87F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23,286 firms, 79,587 observations</w:t>
            </w:r>
          </w:p>
        </w:tc>
        <w:tc>
          <w:tcPr>
            <w:tcW w:w="618" w:type="pct"/>
            <w:tcMar>
              <w:top w:w="100" w:type="dxa"/>
              <w:left w:w="100" w:type="dxa"/>
              <w:bottom w:w="100" w:type="dxa"/>
              <w:right w:w="100" w:type="dxa"/>
            </w:tcMar>
          </w:tcPr>
          <w:p w14:paraId="0D3F2C0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1995-2002</w:t>
            </w:r>
          </w:p>
        </w:tc>
        <w:tc>
          <w:tcPr>
            <w:tcW w:w="1056" w:type="pct"/>
            <w:tcMar>
              <w:top w:w="100" w:type="dxa"/>
              <w:left w:w="100" w:type="dxa"/>
              <w:bottom w:w="100" w:type="dxa"/>
              <w:right w:w="100" w:type="dxa"/>
            </w:tcMar>
          </w:tcPr>
          <w:p w14:paraId="4B89C02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7E9E1C7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7ABD2088" w14:textId="77777777" w:rsidTr="0057655F">
        <w:trPr>
          <w:trHeight w:val="24"/>
        </w:trPr>
        <w:tc>
          <w:tcPr>
            <w:tcW w:w="1136" w:type="pct"/>
            <w:tcMar>
              <w:top w:w="100" w:type="dxa"/>
              <w:left w:w="100" w:type="dxa"/>
              <w:bottom w:w="100" w:type="dxa"/>
              <w:right w:w="100" w:type="dxa"/>
            </w:tcMar>
          </w:tcPr>
          <w:p w14:paraId="11DB8FC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Desai, 2008 </w:t>
            </w:r>
          </w:p>
        </w:tc>
        <w:tc>
          <w:tcPr>
            <w:tcW w:w="1446" w:type="pct"/>
            <w:tcMar>
              <w:top w:w="100" w:type="dxa"/>
              <w:left w:w="100" w:type="dxa"/>
              <w:bottom w:w="100" w:type="dxa"/>
              <w:right w:w="100" w:type="dxa"/>
            </w:tcMar>
          </w:tcPr>
          <w:p w14:paraId="2F27A2C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37 firms, 466 observations</w:t>
            </w:r>
          </w:p>
        </w:tc>
        <w:tc>
          <w:tcPr>
            <w:tcW w:w="618" w:type="pct"/>
            <w:tcMar>
              <w:top w:w="100" w:type="dxa"/>
              <w:left w:w="100" w:type="dxa"/>
              <w:bottom w:w="100" w:type="dxa"/>
              <w:right w:w="100" w:type="dxa"/>
            </w:tcMar>
          </w:tcPr>
          <w:p w14:paraId="1E9D86B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 1978-2003</w:t>
            </w:r>
          </w:p>
        </w:tc>
        <w:tc>
          <w:tcPr>
            <w:tcW w:w="1056" w:type="pct"/>
            <w:tcMar>
              <w:top w:w="100" w:type="dxa"/>
              <w:left w:w="100" w:type="dxa"/>
              <w:bottom w:w="100" w:type="dxa"/>
              <w:right w:w="100" w:type="dxa"/>
            </w:tcMar>
          </w:tcPr>
          <w:p w14:paraId="1C44DD3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18E7413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2195B674" w14:textId="77777777" w:rsidTr="0057655F">
        <w:trPr>
          <w:trHeight w:val="65"/>
        </w:trPr>
        <w:tc>
          <w:tcPr>
            <w:tcW w:w="1136" w:type="pct"/>
            <w:tcMar>
              <w:top w:w="100" w:type="dxa"/>
              <w:left w:w="100" w:type="dxa"/>
              <w:bottom w:w="100" w:type="dxa"/>
              <w:right w:w="100" w:type="dxa"/>
            </w:tcMar>
          </w:tcPr>
          <w:p w14:paraId="44960DE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Desai, 2016 </w:t>
            </w:r>
          </w:p>
        </w:tc>
        <w:tc>
          <w:tcPr>
            <w:tcW w:w="1446" w:type="pct"/>
            <w:tcMar>
              <w:top w:w="100" w:type="dxa"/>
              <w:left w:w="100" w:type="dxa"/>
              <w:bottom w:w="100" w:type="dxa"/>
              <w:right w:w="100" w:type="dxa"/>
            </w:tcMar>
          </w:tcPr>
          <w:p w14:paraId="4B9FFA3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118 firms, 468 observations</w:t>
            </w:r>
          </w:p>
        </w:tc>
        <w:tc>
          <w:tcPr>
            <w:tcW w:w="618" w:type="pct"/>
            <w:tcMar>
              <w:top w:w="100" w:type="dxa"/>
              <w:left w:w="100" w:type="dxa"/>
              <w:bottom w:w="100" w:type="dxa"/>
              <w:right w:w="100" w:type="dxa"/>
            </w:tcMar>
          </w:tcPr>
          <w:p w14:paraId="534EB24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2003-2010</w:t>
            </w:r>
          </w:p>
        </w:tc>
        <w:tc>
          <w:tcPr>
            <w:tcW w:w="1056" w:type="pct"/>
            <w:tcMar>
              <w:top w:w="100" w:type="dxa"/>
              <w:left w:w="100" w:type="dxa"/>
              <w:bottom w:w="100" w:type="dxa"/>
              <w:right w:w="100" w:type="dxa"/>
            </w:tcMar>
          </w:tcPr>
          <w:p w14:paraId="0D1AEEC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Hospitals within the same state</w:t>
            </w:r>
          </w:p>
        </w:tc>
        <w:tc>
          <w:tcPr>
            <w:tcW w:w="744" w:type="pct"/>
          </w:tcPr>
          <w:p w14:paraId="5D47ABC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16CD33CF" w14:textId="77777777" w:rsidTr="0057655F">
        <w:trPr>
          <w:trHeight w:val="24"/>
        </w:trPr>
        <w:tc>
          <w:tcPr>
            <w:tcW w:w="1136" w:type="pct"/>
            <w:tcMar>
              <w:top w:w="100" w:type="dxa"/>
              <w:left w:w="100" w:type="dxa"/>
              <w:bottom w:w="100" w:type="dxa"/>
              <w:right w:w="100" w:type="dxa"/>
            </w:tcMar>
          </w:tcPr>
          <w:p w14:paraId="07854CB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Dong et al., 2021 </w:t>
            </w:r>
          </w:p>
        </w:tc>
        <w:tc>
          <w:tcPr>
            <w:tcW w:w="1446" w:type="pct"/>
            <w:tcMar>
              <w:top w:w="100" w:type="dxa"/>
              <w:left w:w="100" w:type="dxa"/>
              <w:bottom w:w="100" w:type="dxa"/>
              <w:right w:w="100" w:type="dxa"/>
            </w:tcMar>
          </w:tcPr>
          <w:p w14:paraId="1FDCFAC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1,833 firms, 7,237 observations</w:t>
            </w:r>
          </w:p>
        </w:tc>
        <w:tc>
          <w:tcPr>
            <w:tcW w:w="618" w:type="pct"/>
            <w:tcMar>
              <w:top w:w="100" w:type="dxa"/>
              <w:left w:w="100" w:type="dxa"/>
              <w:bottom w:w="100" w:type="dxa"/>
              <w:right w:w="100" w:type="dxa"/>
            </w:tcMar>
          </w:tcPr>
          <w:p w14:paraId="7B8C4B4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2001-2005</w:t>
            </w:r>
          </w:p>
        </w:tc>
        <w:tc>
          <w:tcPr>
            <w:tcW w:w="1056" w:type="pct"/>
            <w:tcMar>
              <w:top w:w="100" w:type="dxa"/>
              <w:left w:w="100" w:type="dxa"/>
              <w:bottom w:w="100" w:type="dxa"/>
              <w:right w:w="100" w:type="dxa"/>
            </w:tcMar>
          </w:tcPr>
          <w:p w14:paraId="5031A19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1B11D96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3C796349" w14:textId="77777777" w:rsidTr="0057655F">
        <w:trPr>
          <w:trHeight w:val="24"/>
        </w:trPr>
        <w:tc>
          <w:tcPr>
            <w:tcW w:w="1136" w:type="pct"/>
            <w:tcMar>
              <w:top w:w="100" w:type="dxa"/>
              <w:left w:w="100" w:type="dxa"/>
              <w:bottom w:w="100" w:type="dxa"/>
              <w:right w:w="100" w:type="dxa"/>
            </w:tcMar>
          </w:tcPr>
          <w:p w14:paraId="5949504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Eggers and Kaul, 2018 </w:t>
            </w:r>
          </w:p>
        </w:tc>
        <w:tc>
          <w:tcPr>
            <w:tcW w:w="1446" w:type="pct"/>
            <w:tcMar>
              <w:top w:w="100" w:type="dxa"/>
              <w:left w:w="100" w:type="dxa"/>
              <w:bottom w:w="100" w:type="dxa"/>
              <w:right w:w="100" w:type="dxa"/>
            </w:tcMar>
          </w:tcPr>
          <w:p w14:paraId="6C9AC4C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16,455 firms, 785,490 observations</w:t>
            </w:r>
          </w:p>
        </w:tc>
        <w:tc>
          <w:tcPr>
            <w:tcW w:w="618" w:type="pct"/>
            <w:tcMar>
              <w:top w:w="100" w:type="dxa"/>
              <w:left w:w="100" w:type="dxa"/>
              <w:bottom w:w="100" w:type="dxa"/>
              <w:right w:w="100" w:type="dxa"/>
            </w:tcMar>
          </w:tcPr>
          <w:p w14:paraId="087D187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1980-1997</w:t>
            </w:r>
          </w:p>
        </w:tc>
        <w:tc>
          <w:tcPr>
            <w:tcW w:w="1056" w:type="pct"/>
            <w:tcMar>
              <w:top w:w="100" w:type="dxa"/>
              <w:left w:w="100" w:type="dxa"/>
              <w:bottom w:w="100" w:type="dxa"/>
              <w:right w:w="100" w:type="dxa"/>
            </w:tcMar>
          </w:tcPr>
          <w:p w14:paraId="421F2F1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415D89B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7427CC5D" w14:textId="77777777" w:rsidTr="0057655F">
        <w:trPr>
          <w:trHeight w:val="209"/>
        </w:trPr>
        <w:tc>
          <w:tcPr>
            <w:tcW w:w="1136" w:type="pct"/>
            <w:tcMar>
              <w:top w:w="100" w:type="dxa"/>
              <w:left w:w="100" w:type="dxa"/>
              <w:bottom w:w="100" w:type="dxa"/>
              <w:right w:w="100" w:type="dxa"/>
            </w:tcMar>
          </w:tcPr>
          <w:p w14:paraId="17E2C2A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Gaba et al., 2012 </w:t>
            </w:r>
          </w:p>
        </w:tc>
        <w:tc>
          <w:tcPr>
            <w:tcW w:w="1446" w:type="pct"/>
            <w:tcMar>
              <w:top w:w="100" w:type="dxa"/>
              <w:left w:w="100" w:type="dxa"/>
              <w:bottom w:w="100" w:type="dxa"/>
              <w:right w:w="100" w:type="dxa"/>
            </w:tcMar>
          </w:tcPr>
          <w:p w14:paraId="715195E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71 firms, 1,424 observations</w:t>
            </w:r>
          </w:p>
        </w:tc>
        <w:tc>
          <w:tcPr>
            <w:tcW w:w="618" w:type="pct"/>
            <w:tcMar>
              <w:top w:w="100" w:type="dxa"/>
              <w:left w:w="100" w:type="dxa"/>
              <w:bottom w:w="100" w:type="dxa"/>
              <w:right w:w="100" w:type="dxa"/>
            </w:tcMar>
          </w:tcPr>
          <w:p w14:paraId="61F0523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1992-2003</w:t>
            </w:r>
          </w:p>
        </w:tc>
        <w:tc>
          <w:tcPr>
            <w:tcW w:w="1056" w:type="pct"/>
            <w:tcMar>
              <w:top w:w="100" w:type="dxa"/>
              <w:left w:w="100" w:type="dxa"/>
              <w:bottom w:w="100" w:type="dxa"/>
              <w:right w:w="100" w:type="dxa"/>
            </w:tcMar>
          </w:tcPr>
          <w:p w14:paraId="5B9035F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46743BD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10ED4BA4" w14:textId="77777777" w:rsidTr="0057655F">
        <w:trPr>
          <w:trHeight w:val="209"/>
        </w:trPr>
        <w:tc>
          <w:tcPr>
            <w:tcW w:w="1136" w:type="pct"/>
            <w:tcMar>
              <w:top w:w="100" w:type="dxa"/>
              <w:left w:w="100" w:type="dxa"/>
              <w:bottom w:w="100" w:type="dxa"/>
              <w:right w:w="100" w:type="dxa"/>
            </w:tcMar>
          </w:tcPr>
          <w:p w14:paraId="35D80D4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lastRenderedPageBreak/>
              <w:t xml:space="preserve">Gao et al., 2021 </w:t>
            </w:r>
          </w:p>
        </w:tc>
        <w:tc>
          <w:tcPr>
            <w:tcW w:w="1446" w:type="pct"/>
            <w:tcMar>
              <w:top w:w="100" w:type="dxa"/>
              <w:left w:w="100" w:type="dxa"/>
              <w:bottom w:w="100" w:type="dxa"/>
              <w:right w:w="100" w:type="dxa"/>
            </w:tcMar>
          </w:tcPr>
          <w:p w14:paraId="3C81986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1,410 firms, 8,273 observations</w:t>
            </w:r>
          </w:p>
        </w:tc>
        <w:tc>
          <w:tcPr>
            <w:tcW w:w="618" w:type="pct"/>
            <w:tcMar>
              <w:top w:w="100" w:type="dxa"/>
              <w:left w:w="100" w:type="dxa"/>
              <w:bottom w:w="100" w:type="dxa"/>
              <w:right w:w="100" w:type="dxa"/>
            </w:tcMar>
          </w:tcPr>
          <w:p w14:paraId="52BFC7A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2004-2015</w:t>
            </w:r>
          </w:p>
        </w:tc>
        <w:tc>
          <w:tcPr>
            <w:tcW w:w="1056" w:type="pct"/>
            <w:tcMar>
              <w:top w:w="100" w:type="dxa"/>
              <w:left w:w="100" w:type="dxa"/>
              <w:bottom w:w="100" w:type="dxa"/>
              <w:right w:w="100" w:type="dxa"/>
            </w:tcMar>
          </w:tcPr>
          <w:p w14:paraId="225B72F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2957308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100BF1F2" w14:textId="77777777" w:rsidTr="0057655F">
        <w:trPr>
          <w:trHeight w:val="24"/>
        </w:trPr>
        <w:tc>
          <w:tcPr>
            <w:tcW w:w="1136" w:type="pct"/>
            <w:tcMar>
              <w:top w:w="100" w:type="dxa"/>
              <w:left w:w="100" w:type="dxa"/>
              <w:bottom w:w="100" w:type="dxa"/>
              <w:right w:w="100" w:type="dxa"/>
            </w:tcMar>
          </w:tcPr>
          <w:p w14:paraId="7A7B869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Goyal and Goyal, 2021 </w:t>
            </w:r>
          </w:p>
        </w:tc>
        <w:tc>
          <w:tcPr>
            <w:tcW w:w="1446" w:type="pct"/>
            <w:tcMar>
              <w:top w:w="100" w:type="dxa"/>
              <w:left w:w="100" w:type="dxa"/>
              <w:bottom w:w="100" w:type="dxa"/>
              <w:right w:w="100" w:type="dxa"/>
            </w:tcMar>
          </w:tcPr>
          <w:p w14:paraId="6FE6B7D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872 firms, 2,691 observations</w:t>
            </w:r>
          </w:p>
        </w:tc>
        <w:tc>
          <w:tcPr>
            <w:tcW w:w="618" w:type="pct"/>
            <w:tcMar>
              <w:top w:w="100" w:type="dxa"/>
              <w:left w:w="100" w:type="dxa"/>
              <w:bottom w:w="100" w:type="dxa"/>
              <w:right w:w="100" w:type="dxa"/>
            </w:tcMar>
          </w:tcPr>
          <w:p w14:paraId="0128092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2010-2017</w:t>
            </w:r>
          </w:p>
        </w:tc>
        <w:tc>
          <w:tcPr>
            <w:tcW w:w="1056" w:type="pct"/>
            <w:tcMar>
              <w:top w:w="100" w:type="dxa"/>
              <w:left w:w="100" w:type="dxa"/>
              <w:bottom w:w="100" w:type="dxa"/>
              <w:right w:w="100" w:type="dxa"/>
            </w:tcMar>
          </w:tcPr>
          <w:p w14:paraId="77F4DB3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078B8F7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1CF37497" w14:textId="77777777" w:rsidTr="0057655F">
        <w:trPr>
          <w:trHeight w:val="24"/>
        </w:trPr>
        <w:tc>
          <w:tcPr>
            <w:tcW w:w="1136" w:type="pct"/>
            <w:tcMar>
              <w:top w:w="100" w:type="dxa"/>
              <w:left w:w="100" w:type="dxa"/>
              <w:bottom w:w="100" w:type="dxa"/>
              <w:right w:w="100" w:type="dxa"/>
            </w:tcMar>
          </w:tcPr>
          <w:p w14:paraId="354D945A"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Greve</w:t>
            </w:r>
            <w:proofErr w:type="spellEnd"/>
            <w:r>
              <w:rPr>
                <w:rFonts w:ascii="Times New Roman" w:eastAsia="Times New Roman" w:hAnsi="Times New Roman" w:cs="Times New Roman"/>
              </w:rPr>
              <w:t xml:space="preserve">, 1998 </w:t>
            </w:r>
          </w:p>
        </w:tc>
        <w:tc>
          <w:tcPr>
            <w:tcW w:w="1446" w:type="pct"/>
            <w:tcMar>
              <w:top w:w="100" w:type="dxa"/>
              <w:left w:w="100" w:type="dxa"/>
              <w:bottom w:w="100" w:type="dxa"/>
              <w:right w:w="100" w:type="dxa"/>
            </w:tcMar>
          </w:tcPr>
          <w:p w14:paraId="7C41067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160 firms, 16,294 observations</w:t>
            </w:r>
          </w:p>
        </w:tc>
        <w:tc>
          <w:tcPr>
            <w:tcW w:w="618" w:type="pct"/>
            <w:tcMar>
              <w:top w:w="100" w:type="dxa"/>
              <w:left w:w="100" w:type="dxa"/>
              <w:bottom w:w="100" w:type="dxa"/>
              <w:right w:w="100" w:type="dxa"/>
            </w:tcMar>
          </w:tcPr>
          <w:p w14:paraId="65A16E1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1984-1992</w:t>
            </w:r>
          </w:p>
        </w:tc>
        <w:tc>
          <w:tcPr>
            <w:tcW w:w="1056" w:type="pct"/>
            <w:tcMar>
              <w:top w:w="100" w:type="dxa"/>
              <w:left w:w="100" w:type="dxa"/>
              <w:bottom w:w="100" w:type="dxa"/>
              <w:right w:w="100" w:type="dxa"/>
            </w:tcMar>
          </w:tcPr>
          <w:p w14:paraId="7D09ACE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773A91A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35679932" w14:textId="77777777" w:rsidTr="0057655F">
        <w:trPr>
          <w:trHeight w:val="24"/>
        </w:trPr>
        <w:tc>
          <w:tcPr>
            <w:tcW w:w="1136" w:type="pct"/>
            <w:tcMar>
              <w:top w:w="100" w:type="dxa"/>
              <w:left w:w="100" w:type="dxa"/>
              <w:bottom w:w="100" w:type="dxa"/>
              <w:right w:w="100" w:type="dxa"/>
            </w:tcMar>
          </w:tcPr>
          <w:p w14:paraId="42CC7722"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Greve</w:t>
            </w:r>
            <w:proofErr w:type="spellEnd"/>
            <w:r>
              <w:rPr>
                <w:rFonts w:ascii="Times New Roman" w:eastAsia="Times New Roman" w:hAnsi="Times New Roman" w:cs="Times New Roman"/>
              </w:rPr>
              <w:t>, 2003</w:t>
            </w:r>
          </w:p>
        </w:tc>
        <w:tc>
          <w:tcPr>
            <w:tcW w:w="1446" w:type="pct"/>
            <w:tcMar>
              <w:top w:w="100" w:type="dxa"/>
              <w:left w:w="100" w:type="dxa"/>
              <w:bottom w:w="100" w:type="dxa"/>
              <w:right w:w="100" w:type="dxa"/>
            </w:tcMar>
          </w:tcPr>
          <w:p w14:paraId="3903289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111 firms, 1,672 observations</w:t>
            </w:r>
          </w:p>
        </w:tc>
        <w:tc>
          <w:tcPr>
            <w:tcW w:w="618" w:type="pct"/>
            <w:tcMar>
              <w:top w:w="100" w:type="dxa"/>
              <w:left w:w="100" w:type="dxa"/>
              <w:bottom w:w="100" w:type="dxa"/>
              <w:right w:w="100" w:type="dxa"/>
            </w:tcMar>
          </w:tcPr>
          <w:p w14:paraId="493A2A5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1964-1995</w:t>
            </w:r>
          </w:p>
        </w:tc>
        <w:tc>
          <w:tcPr>
            <w:tcW w:w="1056" w:type="pct"/>
            <w:tcMar>
              <w:top w:w="100" w:type="dxa"/>
              <w:left w:w="100" w:type="dxa"/>
              <w:bottom w:w="100" w:type="dxa"/>
              <w:right w:w="100" w:type="dxa"/>
            </w:tcMar>
          </w:tcPr>
          <w:p w14:paraId="5777FA0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30BF493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47B2218F" w14:textId="77777777" w:rsidTr="0057655F">
        <w:trPr>
          <w:trHeight w:val="24"/>
        </w:trPr>
        <w:tc>
          <w:tcPr>
            <w:tcW w:w="1136" w:type="pct"/>
            <w:tcMar>
              <w:top w:w="100" w:type="dxa"/>
              <w:left w:w="100" w:type="dxa"/>
              <w:bottom w:w="100" w:type="dxa"/>
              <w:right w:w="100" w:type="dxa"/>
            </w:tcMar>
          </w:tcPr>
          <w:p w14:paraId="626CD613"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Greve</w:t>
            </w:r>
            <w:proofErr w:type="spellEnd"/>
            <w:r>
              <w:rPr>
                <w:rFonts w:ascii="Times New Roman" w:eastAsia="Times New Roman" w:hAnsi="Times New Roman" w:cs="Times New Roman"/>
              </w:rPr>
              <w:t>, 2007</w:t>
            </w:r>
          </w:p>
        </w:tc>
        <w:tc>
          <w:tcPr>
            <w:tcW w:w="1446" w:type="pct"/>
            <w:tcMar>
              <w:top w:w="100" w:type="dxa"/>
              <w:left w:w="100" w:type="dxa"/>
              <w:bottom w:w="100" w:type="dxa"/>
              <w:right w:w="100" w:type="dxa"/>
            </w:tcMar>
          </w:tcPr>
          <w:p w14:paraId="045D789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13 firms, 258 observations</w:t>
            </w:r>
          </w:p>
        </w:tc>
        <w:tc>
          <w:tcPr>
            <w:tcW w:w="618" w:type="pct"/>
            <w:tcMar>
              <w:top w:w="100" w:type="dxa"/>
              <w:left w:w="100" w:type="dxa"/>
              <w:bottom w:w="100" w:type="dxa"/>
              <w:right w:w="100" w:type="dxa"/>
            </w:tcMar>
          </w:tcPr>
          <w:p w14:paraId="10E8CD1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1971-2000</w:t>
            </w:r>
          </w:p>
        </w:tc>
        <w:tc>
          <w:tcPr>
            <w:tcW w:w="1056" w:type="pct"/>
            <w:tcMar>
              <w:top w:w="100" w:type="dxa"/>
              <w:left w:w="100" w:type="dxa"/>
              <w:bottom w:w="100" w:type="dxa"/>
              <w:right w:w="100" w:type="dxa"/>
            </w:tcMar>
          </w:tcPr>
          <w:p w14:paraId="4E11C69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1AFBC49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6B974353" w14:textId="77777777" w:rsidTr="0057655F">
        <w:trPr>
          <w:trHeight w:val="24"/>
        </w:trPr>
        <w:tc>
          <w:tcPr>
            <w:tcW w:w="1136" w:type="pct"/>
            <w:tcMar>
              <w:top w:w="100" w:type="dxa"/>
              <w:left w:w="100" w:type="dxa"/>
              <w:bottom w:w="100" w:type="dxa"/>
              <w:right w:w="100" w:type="dxa"/>
            </w:tcMar>
          </w:tcPr>
          <w:p w14:paraId="17BE4E15"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Greve</w:t>
            </w:r>
            <w:proofErr w:type="spellEnd"/>
            <w:r>
              <w:rPr>
                <w:rFonts w:ascii="Times New Roman" w:eastAsia="Times New Roman" w:hAnsi="Times New Roman" w:cs="Times New Roman"/>
              </w:rPr>
              <w:t>, 2010</w:t>
            </w:r>
          </w:p>
          <w:p w14:paraId="7AC63B04" w14:textId="77777777" w:rsidR="00750C42" w:rsidRDefault="00750C42" w:rsidP="0057655F">
            <w:pPr>
              <w:jc w:val="center"/>
              <w:rPr>
                <w:rFonts w:ascii="Times New Roman" w:eastAsia="Times New Roman" w:hAnsi="Times New Roman" w:cs="Times New Roman"/>
              </w:rPr>
            </w:pPr>
          </w:p>
        </w:tc>
        <w:tc>
          <w:tcPr>
            <w:tcW w:w="1446" w:type="pct"/>
            <w:tcMar>
              <w:top w:w="100" w:type="dxa"/>
              <w:left w:w="100" w:type="dxa"/>
              <w:bottom w:w="100" w:type="dxa"/>
              <w:right w:w="100" w:type="dxa"/>
            </w:tcMar>
          </w:tcPr>
          <w:p w14:paraId="21D2FBE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288 firms, 2,151 observations</w:t>
            </w:r>
          </w:p>
        </w:tc>
        <w:tc>
          <w:tcPr>
            <w:tcW w:w="618" w:type="pct"/>
            <w:tcMar>
              <w:top w:w="100" w:type="dxa"/>
              <w:left w:w="100" w:type="dxa"/>
              <w:bottom w:w="100" w:type="dxa"/>
              <w:right w:w="100" w:type="dxa"/>
            </w:tcMar>
          </w:tcPr>
          <w:p w14:paraId="36173CC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1992-2004</w:t>
            </w:r>
          </w:p>
        </w:tc>
        <w:tc>
          <w:tcPr>
            <w:tcW w:w="1056" w:type="pct"/>
            <w:tcMar>
              <w:top w:w="100" w:type="dxa"/>
              <w:left w:w="100" w:type="dxa"/>
              <w:bottom w:w="100" w:type="dxa"/>
              <w:right w:w="100" w:type="dxa"/>
            </w:tcMar>
          </w:tcPr>
          <w:p w14:paraId="3482EF3D" w14:textId="77777777" w:rsidR="00750C42" w:rsidRPr="006B201B"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Similar firms in terms of scope</w:t>
            </w:r>
          </w:p>
        </w:tc>
        <w:tc>
          <w:tcPr>
            <w:tcW w:w="744" w:type="pct"/>
          </w:tcPr>
          <w:p w14:paraId="1E20CE4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6B8CD88A" w14:textId="77777777" w:rsidTr="0057655F">
        <w:trPr>
          <w:trHeight w:val="24"/>
        </w:trPr>
        <w:tc>
          <w:tcPr>
            <w:tcW w:w="1136" w:type="pct"/>
            <w:tcMar>
              <w:top w:w="100" w:type="dxa"/>
              <w:left w:w="100" w:type="dxa"/>
              <w:bottom w:w="100" w:type="dxa"/>
              <w:right w:w="100" w:type="dxa"/>
            </w:tcMar>
          </w:tcPr>
          <w:p w14:paraId="24FEC1D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Gubbi et al., 2015 </w:t>
            </w:r>
          </w:p>
        </w:tc>
        <w:tc>
          <w:tcPr>
            <w:tcW w:w="1446" w:type="pct"/>
            <w:tcMar>
              <w:top w:w="100" w:type="dxa"/>
              <w:left w:w="100" w:type="dxa"/>
              <w:bottom w:w="100" w:type="dxa"/>
              <w:right w:w="100" w:type="dxa"/>
            </w:tcMar>
          </w:tcPr>
          <w:p w14:paraId="5C5E096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298 firms, 2,729 observations</w:t>
            </w:r>
          </w:p>
        </w:tc>
        <w:tc>
          <w:tcPr>
            <w:tcW w:w="618" w:type="pct"/>
            <w:tcMar>
              <w:top w:w="100" w:type="dxa"/>
              <w:left w:w="100" w:type="dxa"/>
              <w:bottom w:w="100" w:type="dxa"/>
              <w:right w:w="100" w:type="dxa"/>
            </w:tcMar>
          </w:tcPr>
          <w:p w14:paraId="1E9A864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1992-2005</w:t>
            </w:r>
          </w:p>
        </w:tc>
        <w:tc>
          <w:tcPr>
            <w:tcW w:w="1056" w:type="pct"/>
            <w:tcMar>
              <w:top w:w="100" w:type="dxa"/>
              <w:left w:w="100" w:type="dxa"/>
              <w:bottom w:w="100" w:type="dxa"/>
              <w:right w:w="100" w:type="dxa"/>
            </w:tcMar>
          </w:tcPr>
          <w:p w14:paraId="291E734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1038BBE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03110C09" w14:textId="77777777" w:rsidTr="0057655F">
        <w:trPr>
          <w:trHeight w:val="24"/>
        </w:trPr>
        <w:tc>
          <w:tcPr>
            <w:tcW w:w="1136" w:type="pct"/>
            <w:tcMar>
              <w:top w:w="100" w:type="dxa"/>
              <w:left w:w="100" w:type="dxa"/>
              <w:bottom w:w="100" w:type="dxa"/>
              <w:right w:w="100" w:type="dxa"/>
            </w:tcMar>
          </w:tcPr>
          <w:p w14:paraId="155C279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Guo and Peng, 2017 </w:t>
            </w:r>
          </w:p>
        </w:tc>
        <w:tc>
          <w:tcPr>
            <w:tcW w:w="1446" w:type="pct"/>
            <w:tcMar>
              <w:top w:w="100" w:type="dxa"/>
              <w:left w:w="100" w:type="dxa"/>
              <w:bottom w:w="100" w:type="dxa"/>
              <w:right w:w="100" w:type="dxa"/>
            </w:tcMar>
          </w:tcPr>
          <w:p w14:paraId="0B6860B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1,921 firms, 16,057 observations</w:t>
            </w:r>
          </w:p>
        </w:tc>
        <w:tc>
          <w:tcPr>
            <w:tcW w:w="618" w:type="pct"/>
            <w:tcMar>
              <w:top w:w="100" w:type="dxa"/>
              <w:left w:w="100" w:type="dxa"/>
              <w:bottom w:w="100" w:type="dxa"/>
              <w:right w:w="100" w:type="dxa"/>
            </w:tcMar>
          </w:tcPr>
          <w:p w14:paraId="3E532C8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1988-2015</w:t>
            </w:r>
          </w:p>
        </w:tc>
        <w:tc>
          <w:tcPr>
            <w:tcW w:w="1056" w:type="pct"/>
            <w:tcMar>
              <w:top w:w="100" w:type="dxa"/>
              <w:left w:w="100" w:type="dxa"/>
              <w:bottom w:w="100" w:type="dxa"/>
              <w:right w:w="100" w:type="dxa"/>
            </w:tcMar>
          </w:tcPr>
          <w:p w14:paraId="17E07EB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1A6A822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238F7E30" w14:textId="77777777" w:rsidTr="0057655F">
        <w:trPr>
          <w:trHeight w:val="24"/>
        </w:trPr>
        <w:tc>
          <w:tcPr>
            <w:tcW w:w="1136" w:type="pct"/>
            <w:tcMar>
              <w:top w:w="100" w:type="dxa"/>
              <w:left w:w="100" w:type="dxa"/>
              <w:bottom w:w="100" w:type="dxa"/>
              <w:right w:w="100" w:type="dxa"/>
            </w:tcMar>
          </w:tcPr>
          <w:p w14:paraId="4007694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Harris and Bromiley, 2007 </w:t>
            </w:r>
          </w:p>
        </w:tc>
        <w:tc>
          <w:tcPr>
            <w:tcW w:w="1446" w:type="pct"/>
            <w:tcMar>
              <w:top w:w="100" w:type="dxa"/>
              <w:left w:w="100" w:type="dxa"/>
              <w:bottom w:w="100" w:type="dxa"/>
              <w:right w:w="100" w:type="dxa"/>
            </w:tcMar>
          </w:tcPr>
          <w:p w14:paraId="775E582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868 observations</w:t>
            </w:r>
          </w:p>
        </w:tc>
        <w:tc>
          <w:tcPr>
            <w:tcW w:w="618" w:type="pct"/>
            <w:tcMar>
              <w:top w:w="100" w:type="dxa"/>
              <w:left w:w="100" w:type="dxa"/>
              <w:bottom w:w="100" w:type="dxa"/>
              <w:right w:w="100" w:type="dxa"/>
            </w:tcMar>
          </w:tcPr>
          <w:p w14:paraId="7968CA1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1997-2002</w:t>
            </w:r>
          </w:p>
        </w:tc>
        <w:tc>
          <w:tcPr>
            <w:tcW w:w="1056" w:type="pct"/>
            <w:tcMar>
              <w:top w:w="100" w:type="dxa"/>
              <w:left w:w="100" w:type="dxa"/>
              <w:bottom w:w="100" w:type="dxa"/>
              <w:right w:w="100" w:type="dxa"/>
            </w:tcMar>
          </w:tcPr>
          <w:p w14:paraId="441D291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2DBF6B9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33A6F5DA" w14:textId="77777777" w:rsidTr="0057655F">
        <w:trPr>
          <w:trHeight w:val="24"/>
        </w:trPr>
        <w:tc>
          <w:tcPr>
            <w:tcW w:w="1136" w:type="pct"/>
            <w:tcMar>
              <w:top w:w="100" w:type="dxa"/>
              <w:left w:w="100" w:type="dxa"/>
              <w:bottom w:w="100" w:type="dxa"/>
              <w:right w:w="100" w:type="dxa"/>
            </w:tcMar>
          </w:tcPr>
          <w:p w14:paraId="52E8B45A"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Hendron</w:t>
            </w:r>
            <w:proofErr w:type="spellEnd"/>
            <w:r>
              <w:rPr>
                <w:rFonts w:ascii="Times New Roman" w:eastAsia="Times New Roman" w:hAnsi="Times New Roman" w:cs="Times New Roman"/>
              </w:rPr>
              <w:t xml:space="preserve"> et al., 2013  </w:t>
            </w:r>
          </w:p>
        </w:tc>
        <w:tc>
          <w:tcPr>
            <w:tcW w:w="1446" w:type="pct"/>
            <w:tcMar>
              <w:top w:w="100" w:type="dxa"/>
              <w:left w:w="100" w:type="dxa"/>
              <w:bottom w:w="100" w:type="dxa"/>
              <w:right w:w="100" w:type="dxa"/>
            </w:tcMar>
          </w:tcPr>
          <w:p w14:paraId="445BD46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164 firms, 494 observations</w:t>
            </w:r>
          </w:p>
        </w:tc>
        <w:tc>
          <w:tcPr>
            <w:tcW w:w="618" w:type="pct"/>
            <w:tcMar>
              <w:top w:w="100" w:type="dxa"/>
              <w:left w:w="100" w:type="dxa"/>
              <w:bottom w:w="100" w:type="dxa"/>
              <w:right w:w="100" w:type="dxa"/>
            </w:tcMar>
          </w:tcPr>
          <w:p w14:paraId="11EF9ED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1975-1986</w:t>
            </w:r>
          </w:p>
        </w:tc>
        <w:tc>
          <w:tcPr>
            <w:tcW w:w="1056" w:type="pct"/>
            <w:tcMar>
              <w:top w:w="100" w:type="dxa"/>
              <w:left w:w="100" w:type="dxa"/>
              <w:bottom w:w="100" w:type="dxa"/>
              <w:right w:w="100" w:type="dxa"/>
            </w:tcMar>
          </w:tcPr>
          <w:p w14:paraId="30ACDBB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7275FE3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7CDDCB25" w14:textId="77777777" w:rsidTr="0057655F">
        <w:trPr>
          <w:trHeight w:val="92"/>
        </w:trPr>
        <w:tc>
          <w:tcPr>
            <w:tcW w:w="1136" w:type="pct"/>
            <w:tcMar>
              <w:top w:w="100" w:type="dxa"/>
              <w:left w:w="100" w:type="dxa"/>
              <w:bottom w:w="100" w:type="dxa"/>
              <w:right w:w="100" w:type="dxa"/>
            </w:tcMar>
          </w:tcPr>
          <w:p w14:paraId="27326C9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Hu et al., 2017 </w:t>
            </w:r>
          </w:p>
        </w:tc>
        <w:tc>
          <w:tcPr>
            <w:tcW w:w="1446" w:type="pct"/>
            <w:tcMar>
              <w:top w:w="100" w:type="dxa"/>
              <w:left w:w="100" w:type="dxa"/>
              <w:bottom w:w="100" w:type="dxa"/>
              <w:right w:w="100" w:type="dxa"/>
            </w:tcMar>
          </w:tcPr>
          <w:p w14:paraId="547B84E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156 firms, 11,657 observations</w:t>
            </w:r>
          </w:p>
        </w:tc>
        <w:tc>
          <w:tcPr>
            <w:tcW w:w="618" w:type="pct"/>
            <w:tcMar>
              <w:top w:w="100" w:type="dxa"/>
              <w:left w:w="100" w:type="dxa"/>
              <w:bottom w:w="100" w:type="dxa"/>
              <w:right w:w="100" w:type="dxa"/>
            </w:tcMar>
          </w:tcPr>
          <w:p w14:paraId="21A6CC1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1972-2010</w:t>
            </w:r>
          </w:p>
        </w:tc>
        <w:tc>
          <w:tcPr>
            <w:tcW w:w="1056" w:type="pct"/>
            <w:tcMar>
              <w:top w:w="100" w:type="dxa"/>
              <w:left w:w="100" w:type="dxa"/>
              <w:bottom w:w="100" w:type="dxa"/>
              <w:right w:w="100" w:type="dxa"/>
            </w:tcMar>
          </w:tcPr>
          <w:p w14:paraId="16F15CD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Sister magazines under the same publisher, magazines in the same content category </w:t>
            </w:r>
          </w:p>
        </w:tc>
        <w:tc>
          <w:tcPr>
            <w:tcW w:w="744" w:type="pct"/>
          </w:tcPr>
          <w:p w14:paraId="4483519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39F82526" w14:textId="77777777" w:rsidTr="0057655F">
        <w:trPr>
          <w:trHeight w:val="24"/>
        </w:trPr>
        <w:tc>
          <w:tcPr>
            <w:tcW w:w="1136" w:type="pct"/>
            <w:tcMar>
              <w:top w:w="100" w:type="dxa"/>
              <w:left w:w="100" w:type="dxa"/>
              <w:bottom w:w="100" w:type="dxa"/>
              <w:right w:w="100" w:type="dxa"/>
            </w:tcMar>
          </w:tcPr>
          <w:p w14:paraId="63C73A9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Huang et al., 2021a </w:t>
            </w:r>
          </w:p>
        </w:tc>
        <w:tc>
          <w:tcPr>
            <w:tcW w:w="1446" w:type="pct"/>
            <w:tcMar>
              <w:top w:w="100" w:type="dxa"/>
              <w:left w:w="100" w:type="dxa"/>
              <w:bottom w:w="100" w:type="dxa"/>
              <w:right w:w="100" w:type="dxa"/>
            </w:tcMar>
          </w:tcPr>
          <w:p w14:paraId="6D20495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596 firms, 3,285 observations</w:t>
            </w:r>
          </w:p>
        </w:tc>
        <w:tc>
          <w:tcPr>
            <w:tcW w:w="618" w:type="pct"/>
            <w:tcMar>
              <w:top w:w="100" w:type="dxa"/>
              <w:left w:w="100" w:type="dxa"/>
              <w:bottom w:w="100" w:type="dxa"/>
              <w:right w:w="100" w:type="dxa"/>
            </w:tcMar>
          </w:tcPr>
          <w:p w14:paraId="0AAB54B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2009-2017</w:t>
            </w:r>
          </w:p>
        </w:tc>
        <w:tc>
          <w:tcPr>
            <w:tcW w:w="1056" w:type="pct"/>
            <w:tcMar>
              <w:top w:w="100" w:type="dxa"/>
              <w:left w:w="100" w:type="dxa"/>
              <w:bottom w:w="100" w:type="dxa"/>
              <w:right w:w="100" w:type="dxa"/>
            </w:tcMar>
          </w:tcPr>
          <w:p w14:paraId="69DCF75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5D08E9A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6F2ABB82" w14:textId="77777777" w:rsidTr="0057655F">
        <w:trPr>
          <w:trHeight w:val="24"/>
        </w:trPr>
        <w:tc>
          <w:tcPr>
            <w:tcW w:w="1136" w:type="pct"/>
            <w:tcMar>
              <w:top w:w="100" w:type="dxa"/>
              <w:left w:w="100" w:type="dxa"/>
              <w:bottom w:w="100" w:type="dxa"/>
              <w:right w:w="100" w:type="dxa"/>
            </w:tcMar>
          </w:tcPr>
          <w:p w14:paraId="7FB6043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Huang et al., 2021b</w:t>
            </w:r>
          </w:p>
        </w:tc>
        <w:tc>
          <w:tcPr>
            <w:tcW w:w="1446" w:type="pct"/>
            <w:tcMar>
              <w:top w:w="100" w:type="dxa"/>
              <w:left w:w="100" w:type="dxa"/>
              <w:bottom w:w="100" w:type="dxa"/>
              <w:right w:w="100" w:type="dxa"/>
            </w:tcMar>
          </w:tcPr>
          <w:p w14:paraId="04CC6A8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136 observations</w:t>
            </w:r>
          </w:p>
        </w:tc>
        <w:tc>
          <w:tcPr>
            <w:tcW w:w="618" w:type="pct"/>
            <w:tcMar>
              <w:top w:w="100" w:type="dxa"/>
              <w:left w:w="100" w:type="dxa"/>
              <w:bottom w:w="100" w:type="dxa"/>
              <w:right w:w="100" w:type="dxa"/>
            </w:tcMar>
          </w:tcPr>
          <w:p w14:paraId="3120827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2011-2015</w:t>
            </w:r>
          </w:p>
        </w:tc>
        <w:tc>
          <w:tcPr>
            <w:tcW w:w="1056" w:type="pct"/>
            <w:tcMar>
              <w:top w:w="100" w:type="dxa"/>
              <w:left w:w="100" w:type="dxa"/>
              <w:bottom w:w="100" w:type="dxa"/>
              <w:right w:w="100" w:type="dxa"/>
            </w:tcMar>
          </w:tcPr>
          <w:p w14:paraId="4739972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0769569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4D5F3F16" w14:textId="77777777" w:rsidTr="0057655F">
        <w:trPr>
          <w:trHeight w:val="24"/>
        </w:trPr>
        <w:tc>
          <w:tcPr>
            <w:tcW w:w="1136" w:type="pct"/>
            <w:tcMar>
              <w:top w:w="100" w:type="dxa"/>
              <w:left w:w="100" w:type="dxa"/>
              <w:bottom w:w="100" w:type="dxa"/>
              <w:right w:w="100" w:type="dxa"/>
            </w:tcMar>
          </w:tcPr>
          <w:p w14:paraId="55686B5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Hui et al., 2021 </w:t>
            </w:r>
          </w:p>
        </w:tc>
        <w:tc>
          <w:tcPr>
            <w:tcW w:w="1446" w:type="pct"/>
            <w:tcMar>
              <w:top w:w="100" w:type="dxa"/>
              <w:left w:w="100" w:type="dxa"/>
              <w:bottom w:w="100" w:type="dxa"/>
              <w:right w:w="100" w:type="dxa"/>
            </w:tcMar>
          </w:tcPr>
          <w:p w14:paraId="21EA4E2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11,190 observations</w:t>
            </w:r>
          </w:p>
        </w:tc>
        <w:tc>
          <w:tcPr>
            <w:tcW w:w="618" w:type="pct"/>
            <w:tcMar>
              <w:top w:w="100" w:type="dxa"/>
              <w:left w:w="100" w:type="dxa"/>
              <w:bottom w:w="100" w:type="dxa"/>
              <w:right w:w="100" w:type="dxa"/>
            </w:tcMar>
          </w:tcPr>
          <w:p w14:paraId="34C529C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1997-2016</w:t>
            </w:r>
          </w:p>
        </w:tc>
        <w:tc>
          <w:tcPr>
            <w:tcW w:w="1056" w:type="pct"/>
            <w:tcMar>
              <w:top w:w="100" w:type="dxa"/>
              <w:left w:w="100" w:type="dxa"/>
              <w:bottom w:w="100" w:type="dxa"/>
              <w:right w:w="100" w:type="dxa"/>
            </w:tcMar>
          </w:tcPr>
          <w:p w14:paraId="0AE16C1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04FBDD2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66E3B670" w14:textId="77777777" w:rsidTr="0057655F">
        <w:trPr>
          <w:trHeight w:val="24"/>
        </w:trPr>
        <w:tc>
          <w:tcPr>
            <w:tcW w:w="1136" w:type="pct"/>
            <w:tcMar>
              <w:top w:w="100" w:type="dxa"/>
              <w:left w:w="100" w:type="dxa"/>
              <w:bottom w:w="100" w:type="dxa"/>
              <w:right w:w="100" w:type="dxa"/>
            </w:tcMar>
          </w:tcPr>
          <w:p w14:paraId="5A0411BF"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lastRenderedPageBreak/>
              <w:t>Iyer</w:t>
            </w:r>
            <w:proofErr w:type="spellEnd"/>
            <w:r>
              <w:rPr>
                <w:rFonts w:ascii="Times New Roman" w:eastAsia="Times New Roman" w:hAnsi="Times New Roman" w:cs="Times New Roman"/>
              </w:rPr>
              <w:t xml:space="preserve"> and Miller, 2008 </w:t>
            </w:r>
          </w:p>
        </w:tc>
        <w:tc>
          <w:tcPr>
            <w:tcW w:w="1446" w:type="pct"/>
            <w:tcMar>
              <w:top w:w="100" w:type="dxa"/>
              <w:left w:w="100" w:type="dxa"/>
              <w:bottom w:w="100" w:type="dxa"/>
              <w:right w:w="100" w:type="dxa"/>
            </w:tcMar>
          </w:tcPr>
          <w:p w14:paraId="6929B5A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6,302 firms, 51,567 observations</w:t>
            </w:r>
          </w:p>
        </w:tc>
        <w:tc>
          <w:tcPr>
            <w:tcW w:w="618" w:type="pct"/>
            <w:tcMar>
              <w:top w:w="100" w:type="dxa"/>
              <w:left w:w="100" w:type="dxa"/>
              <w:bottom w:w="100" w:type="dxa"/>
              <w:right w:w="100" w:type="dxa"/>
            </w:tcMar>
          </w:tcPr>
          <w:p w14:paraId="002AF61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1980-2000</w:t>
            </w:r>
          </w:p>
        </w:tc>
        <w:tc>
          <w:tcPr>
            <w:tcW w:w="1056" w:type="pct"/>
            <w:tcMar>
              <w:top w:w="100" w:type="dxa"/>
              <w:left w:w="100" w:type="dxa"/>
              <w:bottom w:w="100" w:type="dxa"/>
              <w:right w:w="100" w:type="dxa"/>
            </w:tcMar>
          </w:tcPr>
          <w:p w14:paraId="0B3017E5" w14:textId="77777777" w:rsidR="00750C42" w:rsidRPr="003E79F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4F11548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404A5270" w14:textId="77777777" w:rsidTr="0057655F">
        <w:trPr>
          <w:trHeight w:val="24"/>
        </w:trPr>
        <w:tc>
          <w:tcPr>
            <w:tcW w:w="1136" w:type="pct"/>
            <w:tcMar>
              <w:top w:w="100" w:type="dxa"/>
              <w:left w:w="100" w:type="dxa"/>
              <w:bottom w:w="100" w:type="dxa"/>
              <w:right w:w="100" w:type="dxa"/>
            </w:tcMar>
          </w:tcPr>
          <w:p w14:paraId="48DAD296"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Kavusan</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Frankort</w:t>
            </w:r>
            <w:proofErr w:type="spellEnd"/>
            <w:r>
              <w:rPr>
                <w:rFonts w:ascii="Times New Roman" w:eastAsia="Times New Roman" w:hAnsi="Times New Roman" w:cs="Times New Roman"/>
              </w:rPr>
              <w:t xml:space="preserve">, 2019 </w:t>
            </w:r>
          </w:p>
        </w:tc>
        <w:tc>
          <w:tcPr>
            <w:tcW w:w="1446" w:type="pct"/>
            <w:tcMar>
              <w:top w:w="100" w:type="dxa"/>
              <w:left w:w="100" w:type="dxa"/>
              <w:bottom w:w="100" w:type="dxa"/>
              <w:right w:w="100" w:type="dxa"/>
            </w:tcMar>
          </w:tcPr>
          <w:p w14:paraId="0DCD8D8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165 firms, 1,016 observations</w:t>
            </w:r>
          </w:p>
        </w:tc>
        <w:tc>
          <w:tcPr>
            <w:tcW w:w="618" w:type="pct"/>
            <w:tcMar>
              <w:top w:w="100" w:type="dxa"/>
              <w:left w:w="100" w:type="dxa"/>
              <w:bottom w:w="100" w:type="dxa"/>
              <w:right w:w="100" w:type="dxa"/>
            </w:tcMar>
          </w:tcPr>
          <w:p w14:paraId="21BC118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1985-2000</w:t>
            </w:r>
          </w:p>
        </w:tc>
        <w:tc>
          <w:tcPr>
            <w:tcW w:w="1056" w:type="pct"/>
            <w:tcMar>
              <w:top w:w="100" w:type="dxa"/>
              <w:left w:w="100" w:type="dxa"/>
              <w:bottom w:w="100" w:type="dxa"/>
              <w:right w:w="100" w:type="dxa"/>
            </w:tcMar>
          </w:tcPr>
          <w:p w14:paraId="46F8F71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582C8DD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2F1A5987" w14:textId="77777777" w:rsidTr="0057655F">
        <w:trPr>
          <w:trHeight w:val="24"/>
        </w:trPr>
        <w:tc>
          <w:tcPr>
            <w:tcW w:w="1136" w:type="pct"/>
            <w:tcMar>
              <w:top w:w="100" w:type="dxa"/>
              <w:left w:w="100" w:type="dxa"/>
              <w:bottom w:w="100" w:type="dxa"/>
              <w:right w:w="100" w:type="dxa"/>
            </w:tcMar>
          </w:tcPr>
          <w:p w14:paraId="7E496AA6"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Ketchen</w:t>
            </w:r>
            <w:proofErr w:type="spellEnd"/>
            <w:r>
              <w:rPr>
                <w:rFonts w:ascii="Times New Roman" w:eastAsia="Times New Roman" w:hAnsi="Times New Roman" w:cs="Times New Roman"/>
              </w:rPr>
              <w:t xml:space="preserve"> and Palmer, 1999  </w:t>
            </w:r>
          </w:p>
        </w:tc>
        <w:tc>
          <w:tcPr>
            <w:tcW w:w="1446" w:type="pct"/>
            <w:tcMar>
              <w:top w:w="100" w:type="dxa"/>
              <w:left w:w="100" w:type="dxa"/>
              <w:bottom w:w="100" w:type="dxa"/>
              <w:right w:w="100" w:type="dxa"/>
            </w:tcMar>
          </w:tcPr>
          <w:p w14:paraId="618D6BF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66 observations</w:t>
            </w:r>
          </w:p>
        </w:tc>
        <w:tc>
          <w:tcPr>
            <w:tcW w:w="618" w:type="pct"/>
            <w:tcMar>
              <w:top w:w="100" w:type="dxa"/>
              <w:left w:w="100" w:type="dxa"/>
              <w:bottom w:w="100" w:type="dxa"/>
              <w:right w:w="100" w:type="dxa"/>
            </w:tcMar>
          </w:tcPr>
          <w:p w14:paraId="097316A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 1986-1990</w:t>
            </w:r>
          </w:p>
        </w:tc>
        <w:tc>
          <w:tcPr>
            <w:tcW w:w="1056" w:type="pct"/>
            <w:tcMar>
              <w:top w:w="100" w:type="dxa"/>
              <w:left w:w="100" w:type="dxa"/>
              <w:bottom w:w="100" w:type="dxa"/>
              <w:right w:w="100" w:type="dxa"/>
            </w:tcMar>
          </w:tcPr>
          <w:p w14:paraId="1F39DD0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Strategic groups based on type, location, size, ownership/control, and alliances</w:t>
            </w:r>
          </w:p>
        </w:tc>
        <w:tc>
          <w:tcPr>
            <w:tcW w:w="744" w:type="pct"/>
          </w:tcPr>
          <w:p w14:paraId="09E19B9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6E797325" w14:textId="77777777" w:rsidTr="0057655F">
        <w:trPr>
          <w:trHeight w:val="24"/>
        </w:trPr>
        <w:tc>
          <w:tcPr>
            <w:tcW w:w="1136" w:type="pct"/>
            <w:tcMar>
              <w:top w:w="100" w:type="dxa"/>
              <w:left w:w="100" w:type="dxa"/>
              <w:bottom w:w="100" w:type="dxa"/>
              <w:right w:w="100" w:type="dxa"/>
            </w:tcMar>
          </w:tcPr>
          <w:p w14:paraId="20E964F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Kim et al., 2015 </w:t>
            </w:r>
          </w:p>
        </w:tc>
        <w:tc>
          <w:tcPr>
            <w:tcW w:w="1446" w:type="pct"/>
            <w:tcMar>
              <w:top w:w="100" w:type="dxa"/>
              <w:left w:w="100" w:type="dxa"/>
              <w:bottom w:w="100" w:type="dxa"/>
              <w:right w:w="100" w:type="dxa"/>
            </w:tcMar>
          </w:tcPr>
          <w:p w14:paraId="34D21D4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642 firms, 8,799 observations</w:t>
            </w:r>
          </w:p>
        </w:tc>
        <w:tc>
          <w:tcPr>
            <w:tcW w:w="618" w:type="pct"/>
            <w:tcMar>
              <w:top w:w="100" w:type="dxa"/>
              <w:left w:w="100" w:type="dxa"/>
              <w:bottom w:w="100" w:type="dxa"/>
              <w:right w:w="100" w:type="dxa"/>
            </w:tcMar>
          </w:tcPr>
          <w:p w14:paraId="7BBB3C8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1988-2005</w:t>
            </w:r>
          </w:p>
        </w:tc>
        <w:tc>
          <w:tcPr>
            <w:tcW w:w="1056" w:type="pct"/>
            <w:tcMar>
              <w:top w:w="100" w:type="dxa"/>
              <w:left w:w="100" w:type="dxa"/>
              <w:bottom w:w="100" w:type="dxa"/>
              <w:right w:w="100" w:type="dxa"/>
            </w:tcMar>
          </w:tcPr>
          <w:p w14:paraId="590E2FA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Banks within the same U.S. state</w:t>
            </w:r>
          </w:p>
        </w:tc>
        <w:tc>
          <w:tcPr>
            <w:tcW w:w="744" w:type="pct"/>
          </w:tcPr>
          <w:p w14:paraId="1046280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5439814A" w14:textId="77777777" w:rsidTr="0057655F">
        <w:trPr>
          <w:trHeight w:val="24"/>
        </w:trPr>
        <w:tc>
          <w:tcPr>
            <w:tcW w:w="1136" w:type="pct"/>
            <w:tcMar>
              <w:top w:w="100" w:type="dxa"/>
              <w:left w:w="100" w:type="dxa"/>
              <w:bottom w:w="100" w:type="dxa"/>
              <w:right w:w="100" w:type="dxa"/>
            </w:tcMar>
          </w:tcPr>
          <w:p w14:paraId="444348E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Kim and Rhee, 2014</w:t>
            </w:r>
          </w:p>
        </w:tc>
        <w:tc>
          <w:tcPr>
            <w:tcW w:w="1446" w:type="pct"/>
            <w:tcMar>
              <w:top w:w="100" w:type="dxa"/>
              <w:left w:w="100" w:type="dxa"/>
              <w:bottom w:w="100" w:type="dxa"/>
              <w:right w:w="100" w:type="dxa"/>
            </w:tcMar>
          </w:tcPr>
          <w:p w14:paraId="6450A68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331 observations</w:t>
            </w:r>
          </w:p>
        </w:tc>
        <w:tc>
          <w:tcPr>
            <w:tcW w:w="618" w:type="pct"/>
            <w:tcMar>
              <w:top w:w="100" w:type="dxa"/>
              <w:left w:w="100" w:type="dxa"/>
              <w:bottom w:w="100" w:type="dxa"/>
              <w:right w:w="100" w:type="dxa"/>
            </w:tcMar>
          </w:tcPr>
          <w:p w14:paraId="05105B8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1986-2006</w:t>
            </w:r>
          </w:p>
        </w:tc>
        <w:tc>
          <w:tcPr>
            <w:tcW w:w="1056" w:type="pct"/>
            <w:tcMar>
              <w:top w:w="100" w:type="dxa"/>
              <w:left w:w="100" w:type="dxa"/>
              <w:bottom w:w="100" w:type="dxa"/>
              <w:right w:w="100" w:type="dxa"/>
            </w:tcMar>
          </w:tcPr>
          <w:p w14:paraId="5F93705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Geographic reference group based on state</w:t>
            </w:r>
          </w:p>
        </w:tc>
        <w:tc>
          <w:tcPr>
            <w:tcW w:w="744" w:type="pct"/>
          </w:tcPr>
          <w:p w14:paraId="364A1CA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5A9741F5" w14:textId="77777777" w:rsidTr="0057655F">
        <w:trPr>
          <w:trHeight w:val="24"/>
        </w:trPr>
        <w:tc>
          <w:tcPr>
            <w:tcW w:w="1136" w:type="pct"/>
            <w:tcMar>
              <w:top w:w="100" w:type="dxa"/>
              <w:left w:w="100" w:type="dxa"/>
              <w:bottom w:w="100" w:type="dxa"/>
              <w:right w:w="100" w:type="dxa"/>
            </w:tcMar>
          </w:tcPr>
          <w:p w14:paraId="3D21D93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Kim and Rhee, 2017</w:t>
            </w:r>
          </w:p>
        </w:tc>
        <w:tc>
          <w:tcPr>
            <w:tcW w:w="1446" w:type="pct"/>
            <w:tcMar>
              <w:top w:w="100" w:type="dxa"/>
              <w:left w:w="100" w:type="dxa"/>
              <w:bottom w:w="100" w:type="dxa"/>
              <w:right w:w="100" w:type="dxa"/>
            </w:tcMar>
          </w:tcPr>
          <w:p w14:paraId="5695D01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358 firms, 4,163 observations</w:t>
            </w:r>
          </w:p>
        </w:tc>
        <w:tc>
          <w:tcPr>
            <w:tcW w:w="618" w:type="pct"/>
            <w:tcMar>
              <w:top w:w="100" w:type="dxa"/>
              <w:left w:w="100" w:type="dxa"/>
              <w:bottom w:w="100" w:type="dxa"/>
              <w:right w:w="100" w:type="dxa"/>
            </w:tcMar>
          </w:tcPr>
          <w:p w14:paraId="4C5CF16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1990-2014</w:t>
            </w:r>
          </w:p>
        </w:tc>
        <w:tc>
          <w:tcPr>
            <w:tcW w:w="1056" w:type="pct"/>
            <w:tcMar>
              <w:top w:w="100" w:type="dxa"/>
              <w:left w:w="100" w:type="dxa"/>
              <w:bottom w:w="100" w:type="dxa"/>
              <w:right w:w="100" w:type="dxa"/>
            </w:tcMar>
          </w:tcPr>
          <w:p w14:paraId="24A5B73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0473693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7F20E3D5" w14:textId="77777777" w:rsidTr="0057655F">
        <w:trPr>
          <w:trHeight w:val="24"/>
        </w:trPr>
        <w:tc>
          <w:tcPr>
            <w:tcW w:w="1136" w:type="pct"/>
            <w:tcMar>
              <w:top w:w="100" w:type="dxa"/>
              <w:left w:w="100" w:type="dxa"/>
              <w:bottom w:w="100" w:type="dxa"/>
              <w:right w:w="100" w:type="dxa"/>
            </w:tcMar>
          </w:tcPr>
          <w:p w14:paraId="77CA46F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Kim and Tsai, 2012</w:t>
            </w:r>
          </w:p>
        </w:tc>
        <w:tc>
          <w:tcPr>
            <w:tcW w:w="1446" w:type="pct"/>
            <w:tcMar>
              <w:top w:w="100" w:type="dxa"/>
              <w:left w:w="100" w:type="dxa"/>
              <w:bottom w:w="100" w:type="dxa"/>
              <w:right w:w="100" w:type="dxa"/>
            </w:tcMar>
          </w:tcPr>
          <w:p w14:paraId="26107DD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26 firms, 650 observations</w:t>
            </w:r>
          </w:p>
        </w:tc>
        <w:tc>
          <w:tcPr>
            <w:tcW w:w="618" w:type="pct"/>
            <w:tcMar>
              <w:top w:w="100" w:type="dxa"/>
              <w:left w:w="100" w:type="dxa"/>
              <w:bottom w:w="100" w:type="dxa"/>
              <w:right w:w="100" w:type="dxa"/>
            </w:tcMar>
          </w:tcPr>
          <w:p w14:paraId="61B794E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2004-2006</w:t>
            </w:r>
          </w:p>
        </w:tc>
        <w:tc>
          <w:tcPr>
            <w:tcW w:w="1056" w:type="pct"/>
            <w:tcMar>
              <w:top w:w="100" w:type="dxa"/>
              <w:left w:w="100" w:type="dxa"/>
              <w:bottom w:w="100" w:type="dxa"/>
              <w:right w:w="100" w:type="dxa"/>
            </w:tcMar>
          </w:tcPr>
          <w:p w14:paraId="5AD8B49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Dyads, target firm</w:t>
            </w:r>
          </w:p>
        </w:tc>
        <w:tc>
          <w:tcPr>
            <w:tcW w:w="744" w:type="pct"/>
          </w:tcPr>
          <w:p w14:paraId="4695E28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4EDAC8B3" w14:textId="77777777" w:rsidTr="0057655F">
        <w:trPr>
          <w:trHeight w:val="24"/>
        </w:trPr>
        <w:tc>
          <w:tcPr>
            <w:tcW w:w="1136" w:type="pct"/>
            <w:tcMar>
              <w:top w:w="100" w:type="dxa"/>
              <w:left w:w="100" w:type="dxa"/>
              <w:bottom w:w="100" w:type="dxa"/>
              <w:right w:w="100" w:type="dxa"/>
            </w:tcMar>
          </w:tcPr>
          <w:p w14:paraId="2BD14D74"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Kotiloglu</w:t>
            </w:r>
            <w:proofErr w:type="spellEnd"/>
            <w:r>
              <w:rPr>
                <w:rFonts w:ascii="Times New Roman" w:eastAsia="Times New Roman" w:hAnsi="Times New Roman" w:cs="Times New Roman"/>
              </w:rPr>
              <w:t xml:space="preserve"> et al., 2018 </w:t>
            </w:r>
          </w:p>
        </w:tc>
        <w:tc>
          <w:tcPr>
            <w:tcW w:w="1446" w:type="pct"/>
            <w:tcMar>
              <w:top w:w="100" w:type="dxa"/>
              <w:left w:w="100" w:type="dxa"/>
              <w:bottom w:w="100" w:type="dxa"/>
              <w:right w:w="100" w:type="dxa"/>
            </w:tcMar>
          </w:tcPr>
          <w:p w14:paraId="17952459" w14:textId="77777777" w:rsidR="00750C42" w:rsidRDefault="00750C42" w:rsidP="0057655F">
            <w:pPr>
              <w:jc w:val="center"/>
              <w:rPr>
                <w:rFonts w:ascii="Times New Roman" w:eastAsia="Times New Roman" w:hAnsi="Times New Roman" w:cs="Times New Roman"/>
              </w:rPr>
            </w:pPr>
            <w:r w:rsidRPr="0089369D">
              <w:rPr>
                <w:rFonts w:ascii="Times New Roman" w:eastAsia="Times New Roman" w:hAnsi="Times New Roman" w:cs="Times New Roman"/>
              </w:rPr>
              <w:t>9</w:t>
            </w:r>
            <w:r>
              <w:rPr>
                <w:rFonts w:ascii="Times New Roman" w:eastAsia="Times New Roman" w:hAnsi="Times New Roman" w:cs="Times New Roman"/>
              </w:rPr>
              <w:t>,</w:t>
            </w:r>
            <w:r w:rsidRPr="0089369D">
              <w:rPr>
                <w:rFonts w:ascii="Times New Roman" w:eastAsia="Times New Roman" w:hAnsi="Times New Roman" w:cs="Times New Roman"/>
              </w:rPr>
              <w:t>191 firms</w:t>
            </w:r>
            <w:r>
              <w:rPr>
                <w:rFonts w:ascii="Times New Roman" w:eastAsia="Times New Roman" w:hAnsi="Times New Roman" w:cs="Times New Roman"/>
              </w:rPr>
              <w:t>,</w:t>
            </w:r>
            <w:r w:rsidRPr="0089369D">
              <w:rPr>
                <w:rFonts w:ascii="Times New Roman" w:eastAsia="Times New Roman" w:hAnsi="Times New Roman" w:cs="Times New Roman"/>
              </w:rPr>
              <w:t xml:space="preserve"> 24</w:t>
            </w:r>
            <w:r>
              <w:rPr>
                <w:rFonts w:ascii="Times New Roman" w:eastAsia="Times New Roman" w:hAnsi="Times New Roman" w:cs="Times New Roman"/>
              </w:rPr>
              <w:t>,</w:t>
            </w:r>
            <w:r w:rsidRPr="0089369D">
              <w:rPr>
                <w:rFonts w:ascii="Times New Roman" w:eastAsia="Times New Roman" w:hAnsi="Times New Roman" w:cs="Times New Roman"/>
              </w:rPr>
              <w:t>902 observations</w:t>
            </w:r>
          </w:p>
        </w:tc>
        <w:tc>
          <w:tcPr>
            <w:tcW w:w="618" w:type="pct"/>
            <w:tcMar>
              <w:top w:w="100" w:type="dxa"/>
              <w:left w:w="100" w:type="dxa"/>
              <w:bottom w:w="100" w:type="dxa"/>
              <w:right w:w="100" w:type="dxa"/>
            </w:tcMar>
          </w:tcPr>
          <w:p w14:paraId="4FA02F9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2007-2016</w:t>
            </w:r>
          </w:p>
        </w:tc>
        <w:tc>
          <w:tcPr>
            <w:tcW w:w="1056" w:type="pct"/>
            <w:tcMar>
              <w:top w:w="100" w:type="dxa"/>
              <w:left w:w="100" w:type="dxa"/>
              <w:bottom w:w="100" w:type="dxa"/>
              <w:right w:w="100" w:type="dxa"/>
            </w:tcMar>
          </w:tcPr>
          <w:p w14:paraId="4F4DA13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Top ranked firms</w:t>
            </w:r>
          </w:p>
        </w:tc>
        <w:tc>
          <w:tcPr>
            <w:tcW w:w="744" w:type="pct"/>
          </w:tcPr>
          <w:p w14:paraId="702ECF7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Self-improvement</w:t>
            </w:r>
          </w:p>
        </w:tc>
      </w:tr>
      <w:tr w:rsidR="00750C42" w14:paraId="5979D2A0" w14:textId="77777777" w:rsidTr="0057655F">
        <w:trPr>
          <w:trHeight w:val="24"/>
        </w:trPr>
        <w:tc>
          <w:tcPr>
            <w:tcW w:w="1136" w:type="pct"/>
            <w:tcMar>
              <w:top w:w="100" w:type="dxa"/>
              <w:left w:w="100" w:type="dxa"/>
              <w:bottom w:w="100" w:type="dxa"/>
              <w:right w:w="100" w:type="dxa"/>
            </w:tcMar>
          </w:tcPr>
          <w:p w14:paraId="3A525039"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Kotlar</w:t>
            </w:r>
            <w:proofErr w:type="spellEnd"/>
            <w:r>
              <w:rPr>
                <w:rFonts w:ascii="Times New Roman" w:eastAsia="Times New Roman" w:hAnsi="Times New Roman" w:cs="Times New Roman"/>
              </w:rPr>
              <w:t xml:space="preserve"> et al., 2013 </w:t>
            </w:r>
          </w:p>
        </w:tc>
        <w:tc>
          <w:tcPr>
            <w:tcW w:w="1446" w:type="pct"/>
            <w:tcMar>
              <w:top w:w="100" w:type="dxa"/>
              <w:left w:w="100" w:type="dxa"/>
              <w:bottom w:w="100" w:type="dxa"/>
              <w:right w:w="100" w:type="dxa"/>
            </w:tcMar>
          </w:tcPr>
          <w:p w14:paraId="02DC625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1,540 firms, 4,903 observations</w:t>
            </w:r>
          </w:p>
        </w:tc>
        <w:tc>
          <w:tcPr>
            <w:tcW w:w="618" w:type="pct"/>
            <w:tcMar>
              <w:top w:w="100" w:type="dxa"/>
              <w:left w:w="100" w:type="dxa"/>
              <w:bottom w:w="100" w:type="dxa"/>
              <w:right w:w="100" w:type="dxa"/>
            </w:tcMar>
          </w:tcPr>
          <w:p w14:paraId="5BB56FF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2000-2006</w:t>
            </w:r>
          </w:p>
        </w:tc>
        <w:tc>
          <w:tcPr>
            <w:tcW w:w="1056" w:type="pct"/>
            <w:tcMar>
              <w:top w:w="100" w:type="dxa"/>
              <w:left w:w="100" w:type="dxa"/>
              <w:bottom w:w="100" w:type="dxa"/>
              <w:right w:w="100" w:type="dxa"/>
            </w:tcMar>
          </w:tcPr>
          <w:p w14:paraId="5A94E75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1D7CD81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60DEF629" w14:textId="77777777" w:rsidTr="0057655F">
        <w:trPr>
          <w:trHeight w:val="24"/>
        </w:trPr>
        <w:tc>
          <w:tcPr>
            <w:tcW w:w="1136" w:type="pct"/>
            <w:tcMar>
              <w:top w:w="100" w:type="dxa"/>
              <w:left w:w="100" w:type="dxa"/>
              <w:bottom w:w="100" w:type="dxa"/>
              <w:right w:w="100" w:type="dxa"/>
            </w:tcMar>
          </w:tcPr>
          <w:p w14:paraId="319224C9"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Kotlar</w:t>
            </w:r>
            <w:proofErr w:type="spellEnd"/>
            <w:r>
              <w:rPr>
                <w:rFonts w:ascii="Times New Roman" w:eastAsia="Times New Roman" w:hAnsi="Times New Roman" w:cs="Times New Roman"/>
              </w:rPr>
              <w:t xml:space="preserve"> et al., 2014a</w:t>
            </w:r>
          </w:p>
        </w:tc>
        <w:tc>
          <w:tcPr>
            <w:tcW w:w="1446" w:type="pct"/>
            <w:tcMar>
              <w:top w:w="100" w:type="dxa"/>
              <w:left w:w="100" w:type="dxa"/>
              <w:bottom w:w="100" w:type="dxa"/>
              <w:right w:w="100" w:type="dxa"/>
            </w:tcMar>
          </w:tcPr>
          <w:p w14:paraId="4E99F2A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437 firms, 1,019 observations</w:t>
            </w:r>
          </w:p>
        </w:tc>
        <w:tc>
          <w:tcPr>
            <w:tcW w:w="618" w:type="pct"/>
            <w:tcMar>
              <w:top w:w="100" w:type="dxa"/>
              <w:left w:w="100" w:type="dxa"/>
              <w:bottom w:w="100" w:type="dxa"/>
              <w:right w:w="100" w:type="dxa"/>
            </w:tcMar>
          </w:tcPr>
          <w:p w14:paraId="02FE12D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2000-2006</w:t>
            </w:r>
          </w:p>
        </w:tc>
        <w:tc>
          <w:tcPr>
            <w:tcW w:w="1056" w:type="pct"/>
            <w:tcMar>
              <w:top w:w="100" w:type="dxa"/>
              <w:left w:w="100" w:type="dxa"/>
              <w:bottom w:w="100" w:type="dxa"/>
              <w:right w:w="100" w:type="dxa"/>
            </w:tcMar>
          </w:tcPr>
          <w:p w14:paraId="68264BE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2039B4E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2A9C8E3B" w14:textId="77777777" w:rsidTr="0057655F">
        <w:trPr>
          <w:trHeight w:val="24"/>
        </w:trPr>
        <w:tc>
          <w:tcPr>
            <w:tcW w:w="1136" w:type="pct"/>
            <w:tcMar>
              <w:top w:w="100" w:type="dxa"/>
              <w:left w:w="100" w:type="dxa"/>
              <w:bottom w:w="100" w:type="dxa"/>
              <w:right w:w="100" w:type="dxa"/>
            </w:tcMar>
          </w:tcPr>
          <w:p w14:paraId="64966BB8"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Kotlar</w:t>
            </w:r>
            <w:proofErr w:type="spellEnd"/>
            <w:r>
              <w:rPr>
                <w:rFonts w:ascii="Times New Roman" w:eastAsia="Times New Roman" w:hAnsi="Times New Roman" w:cs="Times New Roman"/>
              </w:rPr>
              <w:t xml:space="preserve"> et al., 2014b</w:t>
            </w:r>
          </w:p>
        </w:tc>
        <w:tc>
          <w:tcPr>
            <w:tcW w:w="1446" w:type="pct"/>
            <w:tcMar>
              <w:top w:w="100" w:type="dxa"/>
              <w:left w:w="100" w:type="dxa"/>
              <w:bottom w:w="100" w:type="dxa"/>
              <w:right w:w="100" w:type="dxa"/>
            </w:tcMar>
          </w:tcPr>
          <w:p w14:paraId="79AF501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431 firms, 995 observations</w:t>
            </w:r>
          </w:p>
        </w:tc>
        <w:tc>
          <w:tcPr>
            <w:tcW w:w="618" w:type="pct"/>
            <w:tcMar>
              <w:top w:w="100" w:type="dxa"/>
              <w:left w:w="100" w:type="dxa"/>
              <w:bottom w:w="100" w:type="dxa"/>
              <w:right w:w="100" w:type="dxa"/>
            </w:tcMar>
          </w:tcPr>
          <w:p w14:paraId="55A0E29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2000-2006</w:t>
            </w:r>
          </w:p>
        </w:tc>
        <w:tc>
          <w:tcPr>
            <w:tcW w:w="1056" w:type="pct"/>
            <w:tcMar>
              <w:top w:w="100" w:type="dxa"/>
              <w:left w:w="100" w:type="dxa"/>
              <w:bottom w:w="100" w:type="dxa"/>
              <w:right w:w="100" w:type="dxa"/>
            </w:tcMar>
          </w:tcPr>
          <w:p w14:paraId="182293E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0190C9D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0F922705" w14:textId="77777777" w:rsidTr="0057655F">
        <w:trPr>
          <w:trHeight w:val="24"/>
        </w:trPr>
        <w:tc>
          <w:tcPr>
            <w:tcW w:w="1136" w:type="pct"/>
            <w:tcMar>
              <w:top w:w="100" w:type="dxa"/>
              <w:left w:w="100" w:type="dxa"/>
              <w:bottom w:w="100" w:type="dxa"/>
              <w:right w:w="100" w:type="dxa"/>
            </w:tcMar>
          </w:tcPr>
          <w:p w14:paraId="530945B3"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Kuusela</w:t>
            </w:r>
            <w:proofErr w:type="spellEnd"/>
            <w:r>
              <w:rPr>
                <w:rFonts w:ascii="Times New Roman" w:eastAsia="Times New Roman" w:hAnsi="Times New Roman" w:cs="Times New Roman"/>
              </w:rPr>
              <w:t xml:space="preserve"> et al., 2017 </w:t>
            </w:r>
          </w:p>
        </w:tc>
        <w:tc>
          <w:tcPr>
            <w:tcW w:w="1446" w:type="pct"/>
            <w:tcMar>
              <w:top w:w="100" w:type="dxa"/>
              <w:left w:w="100" w:type="dxa"/>
              <w:bottom w:w="100" w:type="dxa"/>
              <w:right w:w="100" w:type="dxa"/>
            </w:tcMar>
          </w:tcPr>
          <w:p w14:paraId="25C3C85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530 firms, 4,660 observations</w:t>
            </w:r>
          </w:p>
        </w:tc>
        <w:tc>
          <w:tcPr>
            <w:tcW w:w="618" w:type="pct"/>
            <w:tcMar>
              <w:top w:w="100" w:type="dxa"/>
              <w:left w:w="100" w:type="dxa"/>
              <w:bottom w:w="100" w:type="dxa"/>
              <w:right w:w="100" w:type="dxa"/>
            </w:tcMar>
          </w:tcPr>
          <w:p w14:paraId="62E8BD5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1992-2014</w:t>
            </w:r>
          </w:p>
        </w:tc>
        <w:tc>
          <w:tcPr>
            <w:tcW w:w="1056" w:type="pct"/>
            <w:tcMar>
              <w:top w:w="100" w:type="dxa"/>
              <w:left w:w="100" w:type="dxa"/>
              <w:bottom w:w="100" w:type="dxa"/>
              <w:right w:w="100" w:type="dxa"/>
            </w:tcMar>
          </w:tcPr>
          <w:p w14:paraId="15B3A9D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Similar firms based on performance</w:t>
            </w:r>
          </w:p>
        </w:tc>
        <w:tc>
          <w:tcPr>
            <w:tcW w:w="744" w:type="pct"/>
          </w:tcPr>
          <w:p w14:paraId="28884A2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2D521212" w14:textId="77777777" w:rsidTr="0057655F">
        <w:trPr>
          <w:trHeight w:val="335"/>
        </w:trPr>
        <w:tc>
          <w:tcPr>
            <w:tcW w:w="1136" w:type="pct"/>
            <w:tcMar>
              <w:top w:w="100" w:type="dxa"/>
              <w:left w:w="100" w:type="dxa"/>
              <w:bottom w:w="100" w:type="dxa"/>
              <w:right w:w="100" w:type="dxa"/>
            </w:tcMar>
          </w:tcPr>
          <w:p w14:paraId="74EFA4A8"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Labianca</w:t>
            </w:r>
            <w:proofErr w:type="spellEnd"/>
            <w:r>
              <w:rPr>
                <w:rFonts w:ascii="Times New Roman" w:eastAsia="Times New Roman" w:hAnsi="Times New Roman" w:cs="Times New Roman"/>
              </w:rPr>
              <w:t xml:space="preserve"> et al., 2009 </w:t>
            </w:r>
          </w:p>
          <w:p w14:paraId="288CC9ED" w14:textId="77777777" w:rsidR="00750C42" w:rsidRDefault="00750C42" w:rsidP="0057655F">
            <w:pPr>
              <w:jc w:val="center"/>
              <w:rPr>
                <w:rFonts w:ascii="Times New Roman" w:eastAsia="Times New Roman" w:hAnsi="Times New Roman" w:cs="Times New Roman"/>
              </w:rPr>
            </w:pPr>
          </w:p>
        </w:tc>
        <w:tc>
          <w:tcPr>
            <w:tcW w:w="1446" w:type="pct"/>
            <w:tcMar>
              <w:top w:w="100" w:type="dxa"/>
              <w:left w:w="100" w:type="dxa"/>
              <w:bottom w:w="100" w:type="dxa"/>
              <w:right w:w="100" w:type="dxa"/>
            </w:tcMar>
          </w:tcPr>
          <w:p w14:paraId="3C2B5D8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131 observations</w:t>
            </w:r>
          </w:p>
        </w:tc>
        <w:tc>
          <w:tcPr>
            <w:tcW w:w="618" w:type="pct"/>
            <w:tcMar>
              <w:top w:w="100" w:type="dxa"/>
              <w:left w:w="100" w:type="dxa"/>
              <w:bottom w:w="100" w:type="dxa"/>
              <w:right w:w="100" w:type="dxa"/>
            </w:tcMar>
          </w:tcPr>
          <w:p w14:paraId="66B06C2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2004</w:t>
            </w:r>
          </w:p>
        </w:tc>
        <w:tc>
          <w:tcPr>
            <w:tcW w:w="1056" w:type="pct"/>
            <w:tcMar>
              <w:top w:w="100" w:type="dxa"/>
              <w:left w:w="100" w:type="dxa"/>
              <w:bottom w:w="100" w:type="dxa"/>
              <w:right w:w="100" w:type="dxa"/>
            </w:tcMar>
          </w:tcPr>
          <w:p w14:paraId="1932A33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Direct competitors, schools that deans aspire to equal (based on surveys)</w:t>
            </w:r>
          </w:p>
        </w:tc>
        <w:tc>
          <w:tcPr>
            <w:tcW w:w="744" w:type="pct"/>
          </w:tcPr>
          <w:p w14:paraId="46AB1BB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Self-improvement</w:t>
            </w:r>
          </w:p>
        </w:tc>
      </w:tr>
      <w:tr w:rsidR="00750C42" w14:paraId="016A86C8" w14:textId="77777777" w:rsidTr="0057655F">
        <w:trPr>
          <w:trHeight w:val="24"/>
        </w:trPr>
        <w:tc>
          <w:tcPr>
            <w:tcW w:w="1136" w:type="pct"/>
            <w:tcMar>
              <w:top w:w="100" w:type="dxa"/>
              <w:left w:w="100" w:type="dxa"/>
              <w:bottom w:w="100" w:type="dxa"/>
              <w:right w:w="100" w:type="dxa"/>
            </w:tcMar>
          </w:tcPr>
          <w:p w14:paraId="408BFBE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lastRenderedPageBreak/>
              <w:t xml:space="preserve">Lant and </w:t>
            </w:r>
            <w:proofErr w:type="spellStart"/>
            <w:r>
              <w:rPr>
                <w:rFonts w:ascii="Times New Roman" w:eastAsia="Times New Roman" w:hAnsi="Times New Roman" w:cs="Times New Roman"/>
              </w:rPr>
              <w:t>Hewlin</w:t>
            </w:r>
            <w:proofErr w:type="spellEnd"/>
            <w:r>
              <w:rPr>
                <w:rFonts w:ascii="Times New Roman" w:eastAsia="Times New Roman" w:hAnsi="Times New Roman" w:cs="Times New Roman"/>
              </w:rPr>
              <w:t xml:space="preserve">, 2002 </w:t>
            </w:r>
          </w:p>
        </w:tc>
        <w:tc>
          <w:tcPr>
            <w:tcW w:w="1446" w:type="pct"/>
            <w:tcMar>
              <w:top w:w="100" w:type="dxa"/>
              <w:left w:w="100" w:type="dxa"/>
              <w:bottom w:w="100" w:type="dxa"/>
              <w:right w:w="100" w:type="dxa"/>
            </w:tcMar>
          </w:tcPr>
          <w:p w14:paraId="554CA69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116 observations</w:t>
            </w:r>
          </w:p>
        </w:tc>
        <w:tc>
          <w:tcPr>
            <w:tcW w:w="618" w:type="pct"/>
            <w:tcMar>
              <w:top w:w="100" w:type="dxa"/>
              <w:left w:w="100" w:type="dxa"/>
              <w:bottom w:w="100" w:type="dxa"/>
              <w:right w:w="100" w:type="dxa"/>
            </w:tcMar>
          </w:tcPr>
          <w:p w14:paraId="789EB8A0" w14:textId="77777777" w:rsidR="00750C42" w:rsidRDefault="00750C42" w:rsidP="0057655F">
            <w:pPr>
              <w:jc w:val="center"/>
              <w:rPr>
                <w:rFonts w:ascii="Times New Roman" w:eastAsia="Times New Roman" w:hAnsi="Times New Roman" w:cs="Times New Roman"/>
              </w:rPr>
            </w:pPr>
          </w:p>
        </w:tc>
        <w:tc>
          <w:tcPr>
            <w:tcW w:w="1056" w:type="pct"/>
            <w:tcMar>
              <w:top w:w="100" w:type="dxa"/>
              <w:left w:w="100" w:type="dxa"/>
              <w:bottom w:w="100" w:type="dxa"/>
              <w:right w:w="100" w:type="dxa"/>
            </w:tcMar>
          </w:tcPr>
          <w:p w14:paraId="7C1DDBE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208AA1B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6542CDE1" w14:textId="77777777" w:rsidTr="0057655F">
        <w:trPr>
          <w:trHeight w:val="24"/>
        </w:trPr>
        <w:tc>
          <w:tcPr>
            <w:tcW w:w="1136" w:type="pct"/>
            <w:tcMar>
              <w:top w:w="100" w:type="dxa"/>
              <w:left w:w="100" w:type="dxa"/>
              <w:bottom w:w="100" w:type="dxa"/>
              <w:right w:w="100" w:type="dxa"/>
            </w:tcMar>
          </w:tcPr>
          <w:p w14:paraId="6EC15AF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Le and Lee, 2021 </w:t>
            </w:r>
          </w:p>
        </w:tc>
        <w:tc>
          <w:tcPr>
            <w:tcW w:w="1446" w:type="pct"/>
            <w:tcMar>
              <w:top w:w="100" w:type="dxa"/>
              <w:left w:w="100" w:type="dxa"/>
              <w:bottom w:w="100" w:type="dxa"/>
              <w:right w:w="100" w:type="dxa"/>
            </w:tcMar>
          </w:tcPr>
          <w:p w14:paraId="0ACB3A9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401 firms, 3,133 observations</w:t>
            </w:r>
          </w:p>
        </w:tc>
        <w:tc>
          <w:tcPr>
            <w:tcW w:w="618" w:type="pct"/>
            <w:tcMar>
              <w:top w:w="100" w:type="dxa"/>
              <w:left w:w="100" w:type="dxa"/>
              <w:bottom w:w="100" w:type="dxa"/>
              <w:right w:w="100" w:type="dxa"/>
            </w:tcMar>
          </w:tcPr>
          <w:p w14:paraId="319403F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2010-2018</w:t>
            </w:r>
          </w:p>
        </w:tc>
        <w:tc>
          <w:tcPr>
            <w:tcW w:w="1056" w:type="pct"/>
            <w:tcMar>
              <w:top w:w="100" w:type="dxa"/>
              <w:left w:w="100" w:type="dxa"/>
              <w:bottom w:w="100" w:type="dxa"/>
              <w:right w:w="100" w:type="dxa"/>
            </w:tcMar>
          </w:tcPr>
          <w:p w14:paraId="16698C7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6A3DF09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30B94C72" w14:textId="77777777" w:rsidTr="0057655F">
        <w:trPr>
          <w:trHeight w:val="24"/>
        </w:trPr>
        <w:tc>
          <w:tcPr>
            <w:tcW w:w="1136" w:type="pct"/>
            <w:tcMar>
              <w:top w:w="100" w:type="dxa"/>
              <w:left w:w="100" w:type="dxa"/>
              <w:bottom w:w="100" w:type="dxa"/>
              <w:right w:w="100" w:type="dxa"/>
            </w:tcMar>
          </w:tcPr>
          <w:p w14:paraId="4EE11D7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Lee et al., 2020 </w:t>
            </w:r>
          </w:p>
        </w:tc>
        <w:tc>
          <w:tcPr>
            <w:tcW w:w="1446" w:type="pct"/>
            <w:tcMar>
              <w:top w:w="100" w:type="dxa"/>
              <w:left w:w="100" w:type="dxa"/>
              <w:bottom w:w="100" w:type="dxa"/>
              <w:right w:w="100" w:type="dxa"/>
            </w:tcMar>
          </w:tcPr>
          <w:p w14:paraId="2D3400D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23 firms, 272 observations</w:t>
            </w:r>
          </w:p>
        </w:tc>
        <w:tc>
          <w:tcPr>
            <w:tcW w:w="618" w:type="pct"/>
            <w:tcMar>
              <w:top w:w="100" w:type="dxa"/>
              <w:left w:w="100" w:type="dxa"/>
              <w:bottom w:w="100" w:type="dxa"/>
              <w:right w:w="100" w:type="dxa"/>
            </w:tcMar>
          </w:tcPr>
          <w:p w14:paraId="3F115B8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1993-2008</w:t>
            </w:r>
          </w:p>
        </w:tc>
        <w:tc>
          <w:tcPr>
            <w:tcW w:w="1056" w:type="pct"/>
            <w:tcMar>
              <w:top w:w="100" w:type="dxa"/>
              <w:left w:w="100" w:type="dxa"/>
              <w:bottom w:w="100" w:type="dxa"/>
              <w:right w:w="100" w:type="dxa"/>
            </w:tcMar>
          </w:tcPr>
          <w:p w14:paraId="17F1039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Similar firms based on executives’ perceptions</w:t>
            </w:r>
          </w:p>
        </w:tc>
        <w:tc>
          <w:tcPr>
            <w:tcW w:w="744" w:type="pct"/>
          </w:tcPr>
          <w:p w14:paraId="14237E8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4FE37CDA" w14:textId="77777777" w:rsidTr="0057655F">
        <w:trPr>
          <w:trHeight w:val="24"/>
        </w:trPr>
        <w:tc>
          <w:tcPr>
            <w:tcW w:w="1136" w:type="pct"/>
            <w:tcMar>
              <w:top w:w="100" w:type="dxa"/>
              <w:left w:w="100" w:type="dxa"/>
              <w:bottom w:w="100" w:type="dxa"/>
              <w:right w:w="100" w:type="dxa"/>
            </w:tcMar>
          </w:tcPr>
          <w:p w14:paraId="4FB6779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Lehman and Hahn, 2013</w:t>
            </w:r>
          </w:p>
          <w:p w14:paraId="2617F02C" w14:textId="77777777" w:rsidR="00750C42" w:rsidRDefault="00750C42" w:rsidP="0057655F">
            <w:pPr>
              <w:jc w:val="center"/>
              <w:rPr>
                <w:rFonts w:ascii="Times New Roman" w:eastAsia="Times New Roman" w:hAnsi="Times New Roman" w:cs="Times New Roman"/>
              </w:rPr>
            </w:pPr>
          </w:p>
        </w:tc>
        <w:tc>
          <w:tcPr>
            <w:tcW w:w="1446" w:type="pct"/>
            <w:tcMar>
              <w:top w:w="100" w:type="dxa"/>
              <w:left w:w="100" w:type="dxa"/>
              <w:bottom w:w="100" w:type="dxa"/>
              <w:right w:w="100" w:type="dxa"/>
            </w:tcMar>
          </w:tcPr>
          <w:p w14:paraId="7F65808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22,603 observations</w:t>
            </w:r>
          </w:p>
        </w:tc>
        <w:tc>
          <w:tcPr>
            <w:tcW w:w="618" w:type="pct"/>
            <w:tcMar>
              <w:top w:w="100" w:type="dxa"/>
              <w:left w:w="100" w:type="dxa"/>
              <w:bottom w:w="100" w:type="dxa"/>
              <w:right w:w="100" w:type="dxa"/>
            </w:tcMar>
          </w:tcPr>
          <w:p w14:paraId="7401A6B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2000-2005</w:t>
            </w:r>
          </w:p>
        </w:tc>
        <w:tc>
          <w:tcPr>
            <w:tcW w:w="1056" w:type="pct"/>
            <w:tcMar>
              <w:top w:w="100" w:type="dxa"/>
              <w:left w:w="100" w:type="dxa"/>
              <w:bottom w:w="100" w:type="dxa"/>
              <w:right w:w="100" w:type="dxa"/>
            </w:tcMar>
          </w:tcPr>
          <w:p w14:paraId="7E66BB3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Opponent NFL team’s score</w:t>
            </w:r>
          </w:p>
        </w:tc>
        <w:tc>
          <w:tcPr>
            <w:tcW w:w="744" w:type="pct"/>
          </w:tcPr>
          <w:p w14:paraId="4629E28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7A05CD53" w14:textId="77777777" w:rsidTr="0057655F">
        <w:trPr>
          <w:trHeight w:val="83"/>
        </w:trPr>
        <w:tc>
          <w:tcPr>
            <w:tcW w:w="1136" w:type="pct"/>
            <w:tcMar>
              <w:top w:w="100" w:type="dxa"/>
              <w:left w:w="100" w:type="dxa"/>
              <w:bottom w:w="100" w:type="dxa"/>
              <w:right w:w="100" w:type="dxa"/>
            </w:tcMar>
          </w:tcPr>
          <w:p w14:paraId="6539990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Lewellyn and Bao, 2015 </w:t>
            </w:r>
          </w:p>
        </w:tc>
        <w:tc>
          <w:tcPr>
            <w:tcW w:w="1446" w:type="pct"/>
            <w:tcMar>
              <w:top w:w="100" w:type="dxa"/>
              <w:left w:w="100" w:type="dxa"/>
              <w:bottom w:w="100" w:type="dxa"/>
              <w:right w:w="100" w:type="dxa"/>
            </w:tcMar>
          </w:tcPr>
          <w:p w14:paraId="6DB16A1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83 firms</w:t>
            </w:r>
          </w:p>
        </w:tc>
        <w:tc>
          <w:tcPr>
            <w:tcW w:w="618" w:type="pct"/>
            <w:tcMar>
              <w:top w:w="100" w:type="dxa"/>
              <w:left w:w="100" w:type="dxa"/>
              <w:bottom w:w="100" w:type="dxa"/>
              <w:right w:w="100" w:type="dxa"/>
            </w:tcMar>
          </w:tcPr>
          <w:p w14:paraId="4A40543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2002-2010</w:t>
            </w:r>
          </w:p>
        </w:tc>
        <w:tc>
          <w:tcPr>
            <w:tcW w:w="1056" w:type="pct"/>
            <w:tcMar>
              <w:top w:w="100" w:type="dxa"/>
              <w:left w:w="100" w:type="dxa"/>
              <w:bottom w:w="100" w:type="dxa"/>
              <w:right w:w="100" w:type="dxa"/>
            </w:tcMar>
          </w:tcPr>
          <w:p w14:paraId="20EC9E7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30885A8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0C5DA19A" w14:textId="77777777" w:rsidTr="0057655F">
        <w:trPr>
          <w:trHeight w:val="24"/>
        </w:trPr>
        <w:tc>
          <w:tcPr>
            <w:tcW w:w="1136" w:type="pct"/>
            <w:tcMar>
              <w:top w:w="100" w:type="dxa"/>
              <w:left w:w="100" w:type="dxa"/>
              <w:bottom w:w="100" w:type="dxa"/>
              <w:right w:w="100" w:type="dxa"/>
            </w:tcMar>
          </w:tcPr>
          <w:p w14:paraId="4BA2D2A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Lim and McCann, 2014</w:t>
            </w:r>
          </w:p>
        </w:tc>
        <w:tc>
          <w:tcPr>
            <w:tcW w:w="1446" w:type="pct"/>
            <w:tcMar>
              <w:top w:w="100" w:type="dxa"/>
              <w:left w:w="100" w:type="dxa"/>
              <w:bottom w:w="100" w:type="dxa"/>
              <w:right w:w="100" w:type="dxa"/>
            </w:tcMar>
          </w:tcPr>
          <w:p w14:paraId="407820E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654 firms, 3,892 observations</w:t>
            </w:r>
          </w:p>
        </w:tc>
        <w:tc>
          <w:tcPr>
            <w:tcW w:w="618" w:type="pct"/>
            <w:tcMar>
              <w:top w:w="100" w:type="dxa"/>
              <w:left w:w="100" w:type="dxa"/>
              <w:bottom w:w="100" w:type="dxa"/>
              <w:right w:w="100" w:type="dxa"/>
            </w:tcMar>
          </w:tcPr>
          <w:p w14:paraId="5B939F7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1992-2006</w:t>
            </w:r>
          </w:p>
        </w:tc>
        <w:tc>
          <w:tcPr>
            <w:tcW w:w="1056" w:type="pct"/>
            <w:tcMar>
              <w:top w:w="100" w:type="dxa"/>
              <w:left w:w="100" w:type="dxa"/>
              <w:bottom w:w="100" w:type="dxa"/>
              <w:right w:w="100" w:type="dxa"/>
            </w:tcMar>
          </w:tcPr>
          <w:p w14:paraId="4958F4F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74B9862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3EC882AF" w14:textId="77777777" w:rsidTr="0057655F">
        <w:trPr>
          <w:trHeight w:val="24"/>
        </w:trPr>
        <w:tc>
          <w:tcPr>
            <w:tcW w:w="1136" w:type="pct"/>
            <w:tcMar>
              <w:top w:w="100" w:type="dxa"/>
              <w:left w:w="100" w:type="dxa"/>
              <w:bottom w:w="100" w:type="dxa"/>
              <w:right w:w="100" w:type="dxa"/>
            </w:tcMar>
          </w:tcPr>
          <w:p w14:paraId="7F0D536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Lin, 2014 </w:t>
            </w:r>
          </w:p>
        </w:tc>
        <w:tc>
          <w:tcPr>
            <w:tcW w:w="1446" w:type="pct"/>
            <w:tcMar>
              <w:top w:w="100" w:type="dxa"/>
              <w:left w:w="100" w:type="dxa"/>
              <w:bottom w:w="100" w:type="dxa"/>
              <w:right w:w="100" w:type="dxa"/>
            </w:tcMar>
          </w:tcPr>
          <w:p w14:paraId="3D459B0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656 firms, 5,904 observations</w:t>
            </w:r>
          </w:p>
        </w:tc>
        <w:tc>
          <w:tcPr>
            <w:tcW w:w="618" w:type="pct"/>
            <w:tcMar>
              <w:top w:w="100" w:type="dxa"/>
              <w:left w:w="100" w:type="dxa"/>
              <w:bottom w:w="100" w:type="dxa"/>
              <w:right w:w="100" w:type="dxa"/>
            </w:tcMar>
          </w:tcPr>
          <w:p w14:paraId="3259BBF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2000-2008</w:t>
            </w:r>
          </w:p>
        </w:tc>
        <w:tc>
          <w:tcPr>
            <w:tcW w:w="1056" w:type="pct"/>
            <w:tcMar>
              <w:top w:w="100" w:type="dxa"/>
              <w:left w:w="100" w:type="dxa"/>
              <w:bottom w:w="100" w:type="dxa"/>
              <w:right w:w="100" w:type="dxa"/>
            </w:tcMar>
          </w:tcPr>
          <w:p w14:paraId="378C5A0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1E65B47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741C1B70" w14:textId="77777777" w:rsidTr="0057655F">
        <w:trPr>
          <w:trHeight w:val="24"/>
        </w:trPr>
        <w:tc>
          <w:tcPr>
            <w:tcW w:w="1136" w:type="pct"/>
            <w:tcMar>
              <w:top w:w="100" w:type="dxa"/>
              <w:left w:w="100" w:type="dxa"/>
              <w:bottom w:w="100" w:type="dxa"/>
              <w:right w:w="100" w:type="dxa"/>
            </w:tcMar>
          </w:tcPr>
          <w:p w14:paraId="2D4A446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Lu and Wong, 2019 </w:t>
            </w:r>
          </w:p>
        </w:tc>
        <w:tc>
          <w:tcPr>
            <w:tcW w:w="1446" w:type="pct"/>
            <w:tcMar>
              <w:top w:w="100" w:type="dxa"/>
              <w:left w:w="100" w:type="dxa"/>
              <w:bottom w:w="100" w:type="dxa"/>
              <w:right w:w="100" w:type="dxa"/>
            </w:tcMar>
          </w:tcPr>
          <w:p w14:paraId="152FBCB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2,436 observations</w:t>
            </w:r>
          </w:p>
        </w:tc>
        <w:tc>
          <w:tcPr>
            <w:tcW w:w="618" w:type="pct"/>
            <w:tcMar>
              <w:top w:w="100" w:type="dxa"/>
              <w:left w:w="100" w:type="dxa"/>
              <w:bottom w:w="100" w:type="dxa"/>
              <w:right w:w="100" w:type="dxa"/>
            </w:tcMar>
          </w:tcPr>
          <w:p w14:paraId="6366F43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1998-2012</w:t>
            </w:r>
          </w:p>
        </w:tc>
        <w:tc>
          <w:tcPr>
            <w:tcW w:w="1056" w:type="pct"/>
            <w:tcMar>
              <w:top w:w="100" w:type="dxa"/>
              <w:left w:w="100" w:type="dxa"/>
              <w:bottom w:w="100" w:type="dxa"/>
              <w:right w:w="100" w:type="dxa"/>
            </w:tcMar>
          </w:tcPr>
          <w:p w14:paraId="7FB3F65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35FE33F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6BE42C87" w14:textId="77777777" w:rsidTr="0057655F">
        <w:trPr>
          <w:trHeight w:val="24"/>
        </w:trPr>
        <w:tc>
          <w:tcPr>
            <w:tcW w:w="1136" w:type="pct"/>
            <w:tcMar>
              <w:top w:w="100" w:type="dxa"/>
              <w:left w:w="100" w:type="dxa"/>
              <w:bottom w:w="100" w:type="dxa"/>
              <w:right w:w="100" w:type="dxa"/>
            </w:tcMar>
          </w:tcPr>
          <w:p w14:paraId="755584EE"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Lungeanu</w:t>
            </w:r>
            <w:proofErr w:type="spellEnd"/>
            <w:r>
              <w:rPr>
                <w:rFonts w:ascii="Times New Roman" w:eastAsia="Times New Roman" w:hAnsi="Times New Roman" w:cs="Times New Roman"/>
              </w:rPr>
              <w:t xml:space="preserve"> et al., 2016 </w:t>
            </w:r>
          </w:p>
        </w:tc>
        <w:tc>
          <w:tcPr>
            <w:tcW w:w="1446" w:type="pct"/>
            <w:tcMar>
              <w:top w:w="100" w:type="dxa"/>
              <w:left w:w="100" w:type="dxa"/>
              <w:bottom w:w="100" w:type="dxa"/>
              <w:right w:w="100" w:type="dxa"/>
            </w:tcMar>
          </w:tcPr>
          <w:p w14:paraId="6CD9985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30 firms, 392 observations</w:t>
            </w:r>
          </w:p>
        </w:tc>
        <w:tc>
          <w:tcPr>
            <w:tcW w:w="618" w:type="pct"/>
            <w:tcMar>
              <w:top w:w="100" w:type="dxa"/>
              <w:left w:w="100" w:type="dxa"/>
              <w:bottom w:w="100" w:type="dxa"/>
              <w:right w:w="100" w:type="dxa"/>
            </w:tcMar>
          </w:tcPr>
          <w:p w14:paraId="72B73C5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1992-2006</w:t>
            </w:r>
          </w:p>
        </w:tc>
        <w:tc>
          <w:tcPr>
            <w:tcW w:w="1056" w:type="pct"/>
            <w:tcMar>
              <w:top w:w="100" w:type="dxa"/>
              <w:left w:w="100" w:type="dxa"/>
              <w:bottom w:w="100" w:type="dxa"/>
              <w:right w:w="100" w:type="dxa"/>
            </w:tcMar>
          </w:tcPr>
          <w:p w14:paraId="7A93C37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11BF1DB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01365624" w14:textId="77777777" w:rsidTr="0057655F">
        <w:trPr>
          <w:trHeight w:val="24"/>
        </w:trPr>
        <w:tc>
          <w:tcPr>
            <w:tcW w:w="1136" w:type="pct"/>
            <w:tcMar>
              <w:top w:w="100" w:type="dxa"/>
              <w:left w:w="100" w:type="dxa"/>
              <w:bottom w:w="100" w:type="dxa"/>
              <w:right w:w="100" w:type="dxa"/>
            </w:tcMar>
          </w:tcPr>
          <w:p w14:paraId="2B8D2D95"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Lv</w:t>
            </w:r>
            <w:proofErr w:type="spellEnd"/>
            <w:r>
              <w:rPr>
                <w:rFonts w:ascii="Times New Roman" w:eastAsia="Times New Roman" w:hAnsi="Times New Roman" w:cs="Times New Roman"/>
              </w:rPr>
              <w:t xml:space="preserve"> et al., 2019 </w:t>
            </w:r>
          </w:p>
        </w:tc>
        <w:tc>
          <w:tcPr>
            <w:tcW w:w="1446" w:type="pct"/>
            <w:tcMar>
              <w:top w:w="100" w:type="dxa"/>
              <w:left w:w="100" w:type="dxa"/>
              <w:bottom w:w="100" w:type="dxa"/>
              <w:right w:w="100" w:type="dxa"/>
            </w:tcMar>
          </w:tcPr>
          <w:p w14:paraId="621A6E6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1,824 firms, 10,170 observations</w:t>
            </w:r>
          </w:p>
        </w:tc>
        <w:tc>
          <w:tcPr>
            <w:tcW w:w="618" w:type="pct"/>
            <w:tcMar>
              <w:top w:w="100" w:type="dxa"/>
              <w:left w:w="100" w:type="dxa"/>
              <w:bottom w:w="100" w:type="dxa"/>
              <w:right w:w="100" w:type="dxa"/>
            </w:tcMar>
          </w:tcPr>
          <w:p w14:paraId="2B09D43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2007-2017</w:t>
            </w:r>
          </w:p>
        </w:tc>
        <w:tc>
          <w:tcPr>
            <w:tcW w:w="1056" w:type="pct"/>
            <w:tcMar>
              <w:top w:w="100" w:type="dxa"/>
              <w:left w:w="100" w:type="dxa"/>
              <w:bottom w:w="100" w:type="dxa"/>
              <w:right w:w="100" w:type="dxa"/>
            </w:tcMar>
          </w:tcPr>
          <w:p w14:paraId="331DF17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1EC4DBF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7C36E6B7" w14:textId="77777777" w:rsidTr="0057655F">
        <w:trPr>
          <w:trHeight w:val="24"/>
        </w:trPr>
        <w:tc>
          <w:tcPr>
            <w:tcW w:w="1136" w:type="pct"/>
            <w:tcMar>
              <w:top w:w="100" w:type="dxa"/>
              <w:left w:w="100" w:type="dxa"/>
              <w:bottom w:w="100" w:type="dxa"/>
              <w:right w:w="100" w:type="dxa"/>
            </w:tcMar>
          </w:tcPr>
          <w:p w14:paraId="1C934F4A"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Lv</w:t>
            </w:r>
            <w:proofErr w:type="spellEnd"/>
            <w:r>
              <w:rPr>
                <w:rFonts w:ascii="Times New Roman" w:eastAsia="Times New Roman" w:hAnsi="Times New Roman" w:cs="Times New Roman"/>
              </w:rPr>
              <w:t xml:space="preserve"> et al., 2021 </w:t>
            </w:r>
          </w:p>
        </w:tc>
        <w:tc>
          <w:tcPr>
            <w:tcW w:w="1446" w:type="pct"/>
            <w:tcMar>
              <w:top w:w="100" w:type="dxa"/>
              <w:left w:w="100" w:type="dxa"/>
              <w:bottom w:w="100" w:type="dxa"/>
              <w:right w:w="100" w:type="dxa"/>
            </w:tcMar>
          </w:tcPr>
          <w:p w14:paraId="5A5583C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1,865 firms, 9,449 observations</w:t>
            </w:r>
          </w:p>
        </w:tc>
        <w:tc>
          <w:tcPr>
            <w:tcW w:w="618" w:type="pct"/>
            <w:tcMar>
              <w:top w:w="100" w:type="dxa"/>
              <w:left w:w="100" w:type="dxa"/>
              <w:bottom w:w="100" w:type="dxa"/>
              <w:right w:w="100" w:type="dxa"/>
            </w:tcMar>
          </w:tcPr>
          <w:p w14:paraId="1DAE447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2008-2018</w:t>
            </w:r>
          </w:p>
        </w:tc>
        <w:tc>
          <w:tcPr>
            <w:tcW w:w="1056" w:type="pct"/>
            <w:tcMar>
              <w:top w:w="100" w:type="dxa"/>
              <w:left w:w="100" w:type="dxa"/>
              <w:bottom w:w="100" w:type="dxa"/>
              <w:right w:w="100" w:type="dxa"/>
            </w:tcMar>
          </w:tcPr>
          <w:p w14:paraId="4185B4D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Highest performing firms</w:t>
            </w:r>
          </w:p>
        </w:tc>
        <w:tc>
          <w:tcPr>
            <w:tcW w:w="744" w:type="pct"/>
          </w:tcPr>
          <w:p w14:paraId="41768E1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Self-improvement</w:t>
            </w:r>
          </w:p>
        </w:tc>
      </w:tr>
      <w:tr w:rsidR="00750C42" w14:paraId="28524F6B" w14:textId="77777777" w:rsidTr="0057655F">
        <w:trPr>
          <w:trHeight w:val="24"/>
        </w:trPr>
        <w:tc>
          <w:tcPr>
            <w:tcW w:w="1136" w:type="pct"/>
            <w:tcMar>
              <w:top w:w="100" w:type="dxa"/>
              <w:left w:w="100" w:type="dxa"/>
              <w:bottom w:w="100" w:type="dxa"/>
              <w:right w:w="100" w:type="dxa"/>
            </w:tcMar>
          </w:tcPr>
          <w:p w14:paraId="613E082B"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Lyocsa</w:t>
            </w:r>
            <w:proofErr w:type="spellEnd"/>
            <w:r>
              <w:rPr>
                <w:rFonts w:ascii="Times New Roman" w:eastAsia="Times New Roman" w:hAnsi="Times New Roman" w:cs="Times New Roman"/>
              </w:rPr>
              <w:t xml:space="preserve"> et al., 2018  </w:t>
            </w:r>
          </w:p>
        </w:tc>
        <w:tc>
          <w:tcPr>
            <w:tcW w:w="1446" w:type="pct"/>
            <w:tcMar>
              <w:top w:w="100" w:type="dxa"/>
              <w:left w:w="100" w:type="dxa"/>
              <w:bottom w:w="100" w:type="dxa"/>
              <w:right w:w="100" w:type="dxa"/>
            </w:tcMar>
          </w:tcPr>
          <w:p w14:paraId="23CC460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3,586 observations</w:t>
            </w:r>
          </w:p>
        </w:tc>
        <w:tc>
          <w:tcPr>
            <w:tcW w:w="618" w:type="pct"/>
            <w:tcMar>
              <w:top w:w="100" w:type="dxa"/>
              <w:left w:w="100" w:type="dxa"/>
              <w:bottom w:w="100" w:type="dxa"/>
              <w:right w:w="100" w:type="dxa"/>
            </w:tcMar>
          </w:tcPr>
          <w:p w14:paraId="6EA7E77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2014-2015</w:t>
            </w:r>
          </w:p>
        </w:tc>
        <w:tc>
          <w:tcPr>
            <w:tcW w:w="1056" w:type="pct"/>
            <w:tcMar>
              <w:top w:w="100" w:type="dxa"/>
              <w:left w:w="100" w:type="dxa"/>
              <w:bottom w:w="100" w:type="dxa"/>
              <w:right w:w="100" w:type="dxa"/>
            </w:tcMar>
          </w:tcPr>
          <w:p w14:paraId="3A67A76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358E1F4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13B3EF17" w14:textId="77777777" w:rsidTr="0057655F">
        <w:trPr>
          <w:trHeight w:val="24"/>
        </w:trPr>
        <w:tc>
          <w:tcPr>
            <w:tcW w:w="1136" w:type="pct"/>
            <w:tcMar>
              <w:top w:w="100" w:type="dxa"/>
              <w:left w:w="100" w:type="dxa"/>
              <w:bottom w:w="100" w:type="dxa"/>
              <w:right w:w="100" w:type="dxa"/>
            </w:tcMar>
          </w:tcPr>
          <w:p w14:paraId="78BD7BEF" w14:textId="77777777" w:rsidR="00750C42" w:rsidRPr="007831DA" w:rsidRDefault="00750C42" w:rsidP="0057655F">
            <w:pPr>
              <w:jc w:val="center"/>
              <w:rPr>
                <w:rFonts w:ascii="Times New Roman" w:eastAsia="Times New Roman" w:hAnsi="Times New Roman" w:cs="Times New Roman"/>
              </w:rPr>
            </w:pPr>
            <w:proofErr w:type="spellStart"/>
            <w:r w:rsidRPr="007831DA">
              <w:rPr>
                <w:rFonts w:ascii="Times New Roman" w:eastAsia="Times New Roman" w:hAnsi="Times New Roman" w:cs="Times New Roman"/>
              </w:rPr>
              <w:t>Manzaneque</w:t>
            </w:r>
            <w:proofErr w:type="spellEnd"/>
            <w:r>
              <w:rPr>
                <w:rFonts w:ascii="Times New Roman" w:eastAsia="Times New Roman" w:hAnsi="Times New Roman" w:cs="Times New Roman"/>
              </w:rPr>
              <w:t xml:space="preserve"> et al., 2020 </w:t>
            </w:r>
          </w:p>
        </w:tc>
        <w:tc>
          <w:tcPr>
            <w:tcW w:w="1446" w:type="pct"/>
            <w:tcMar>
              <w:top w:w="100" w:type="dxa"/>
              <w:left w:w="100" w:type="dxa"/>
              <w:bottom w:w="100" w:type="dxa"/>
              <w:right w:w="100" w:type="dxa"/>
            </w:tcMar>
          </w:tcPr>
          <w:p w14:paraId="1848654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3,116 observations</w:t>
            </w:r>
          </w:p>
        </w:tc>
        <w:tc>
          <w:tcPr>
            <w:tcW w:w="618" w:type="pct"/>
            <w:tcMar>
              <w:top w:w="100" w:type="dxa"/>
              <w:left w:w="100" w:type="dxa"/>
              <w:bottom w:w="100" w:type="dxa"/>
              <w:right w:w="100" w:type="dxa"/>
            </w:tcMar>
          </w:tcPr>
          <w:p w14:paraId="2C622C8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2001-2013</w:t>
            </w:r>
          </w:p>
        </w:tc>
        <w:tc>
          <w:tcPr>
            <w:tcW w:w="1056" w:type="pct"/>
            <w:tcMar>
              <w:top w:w="100" w:type="dxa"/>
              <w:left w:w="100" w:type="dxa"/>
              <w:bottom w:w="100" w:type="dxa"/>
              <w:right w:w="100" w:type="dxa"/>
            </w:tcMar>
          </w:tcPr>
          <w:p w14:paraId="4D53522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10832F2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3B09F6C3" w14:textId="77777777" w:rsidTr="0057655F">
        <w:trPr>
          <w:trHeight w:val="24"/>
        </w:trPr>
        <w:tc>
          <w:tcPr>
            <w:tcW w:w="1136" w:type="pct"/>
            <w:tcMar>
              <w:top w:w="100" w:type="dxa"/>
              <w:left w:w="100" w:type="dxa"/>
              <w:bottom w:w="100" w:type="dxa"/>
              <w:right w:w="100" w:type="dxa"/>
            </w:tcMar>
          </w:tcPr>
          <w:p w14:paraId="78E8009F"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Massini</w:t>
            </w:r>
            <w:proofErr w:type="spellEnd"/>
            <w:r>
              <w:rPr>
                <w:rFonts w:ascii="Times New Roman" w:eastAsia="Times New Roman" w:hAnsi="Times New Roman" w:cs="Times New Roman"/>
              </w:rPr>
              <w:t xml:space="preserve"> et al., 2005 </w:t>
            </w:r>
          </w:p>
        </w:tc>
        <w:tc>
          <w:tcPr>
            <w:tcW w:w="1446" w:type="pct"/>
            <w:tcMar>
              <w:top w:w="100" w:type="dxa"/>
              <w:left w:w="100" w:type="dxa"/>
              <w:bottom w:w="100" w:type="dxa"/>
              <w:right w:w="100" w:type="dxa"/>
            </w:tcMar>
          </w:tcPr>
          <w:p w14:paraId="776CC79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122 observations</w:t>
            </w:r>
          </w:p>
        </w:tc>
        <w:tc>
          <w:tcPr>
            <w:tcW w:w="618" w:type="pct"/>
            <w:tcMar>
              <w:top w:w="100" w:type="dxa"/>
              <w:left w:w="100" w:type="dxa"/>
              <w:bottom w:w="100" w:type="dxa"/>
              <w:right w:w="100" w:type="dxa"/>
            </w:tcMar>
          </w:tcPr>
          <w:p w14:paraId="233231E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1992-1996</w:t>
            </w:r>
          </w:p>
        </w:tc>
        <w:tc>
          <w:tcPr>
            <w:tcW w:w="1056" w:type="pct"/>
            <w:tcMar>
              <w:top w:w="100" w:type="dxa"/>
              <w:left w:w="100" w:type="dxa"/>
              <w:bottom w:w="100" w:type="dxa"/>
              <w:right w:w="100" w:type="dxa"/>
            </w:tcMar>
          </w:tcPr>
          <w:p w14:paraId="57B0D4A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Firms from the same sub-industry and nation</w:t>
            </w:r>
          </w:p>
        </w:tc>
        <w:tc>
          <w:tcPr>
            <w:tcW w:w="744" w:type="pct"/>
          </w:tcPr>
          <w:p w14:paraId="35DB599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09AAA4AA" w14:textId="77777777" w:rsidTr="0057655F">
        <w:trPr>
          <w:trHeight w:val="24"/>
        </w:trPr>
        <w:tc>
          <w:tcPr>
            <w:tcW w:w="1136" w:type="pct"/>
            <w:tcMar>
              <w:top w:w="100" w:type="dxa"/>
              <w:left w:w="100" w:type="dxa"/>
              <w:bottom w:w="100" w:type="dxa"/>
              <w:right w:w="100" w:type="dxa"/>
            </w:tcMar>
          </w:tcPr>
          <w:p w14:paraId="084C740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lastRenderedPageBreak/>
              <w:t xml:space="preserve">Mishina et al., 2010 </w:t>
            </w:r>
          </w:p>
        </w:tc>
        <w:tc>
          <w:tcPr>
            <w:tcW w:w="1446" w:type="pct"/>
            <w:tcMar>
              <w:top w:w="100" w:type="dxa"/>
              <w:left w:w="100" w:type="dxa"/>
              <w:bottom w:w="100" w:type="dxa"/>
              <w:right w:w="100" w:type="dxa"/>
            </w:tcMar>
          </w:tcPr>
          <w:p w14:paraId="780CEF0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194 firms, 1,749 observations</w:t>
            </w:r>
          </w:p>
        </w:tc>
        <w:tc>
          <w:tcPr>
            <w:tcW w:w="618" w:type="pct"/>
            <w:tcMar>
              <w:top w:w="100" w:type="dxa"/>
              <w:left w:w="100" w:type="dxa"/>
              <w:bottom w:w="100" w:type="dxa"/>
              <w:right w:w="100" w:type="dxa"/>
            </w:tcMar>
          </w:tcPr>
          <w:p w14:paraId="233C189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1990-1999</w:t>
            </w:r>
          </w:p>
        </w:tc>
        <w:tc>
          <w:tcPr>
            <w:tcW w:w="1056" w:type="pct"/>
            <w:tcMar>
              <w:top w:w="100" w:type="dxa"/>
              <w:left w:w="100" w:type="dxa"/>
              <w:bottom w:w="100" w:type="dxa"/>
              <w:right w:w="100" w:type="dxa"/>
            </w:tcMar>
          </w:tcPr>
          <w:p w14:paraId="5387784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0F1DEA1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4BCDCDA6" w14:textId="77777777" w:rsidTr="0057655F">
        <w:trPr>
          <w:trHeight w:val="24"/>
        </w:trPr>
        <w:tc>
          <w:tcPr>
            <w:tcW w:w="1136" w:type="pct"/>
            <w:tcMar>
              <w:top w:w="100" w:type="dxa"/>
              <w:left w:w="100" w:type="dxa"/>
              <w:bottom w:w="100" w:type="dxa"/>
              <w:right w:w="100" w:type="dxa"/>
            </w:tcMar>
          </w:tcPr>
          <w:p w14:paraId="727BD097"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Nevmerzhytskyi</w:t>
            </w:r>
            <w:proofErr w:type="spellEnd"/>
            <w:r>
              <w:rPr>
                <w:rFonts w:ascii="Times New Roman" w:eastAsia="Times New Roman" w:hAnsi="Times New Roman" w:cs="Times New Roman"/>
              </w:rPr>
              <w:t xml:space="preserve">, 2021 </w:t>
            </w:r>
          </w:p>
        </w:tc>
        <w:tc>
          <w:tcPr>
            <w:tcW w:w="1446" w:type="pct"/>
            <w:tcMar>
              <w:top w:w="100" w:type="dxa"/>
              <w:left w:w="100" w:type="dxa"/>
              <w:bottom w:w="100" w:type="dxa"/>
              <w:right w:w="100" w:type="dxa"/>
            </w:tcMar>
          </w:tcPr>
          <w:p w14:paraId="12FE31F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1,246 observations</w:t>
            </w:r>
          </w:p>
        </w:tc>
        <w:tc>
          <w:tcPr>
            <w:tcW w:w="618" w:type="pct"/>
            <w:tcMar>
              <w:top w:w="100" w:type="dxa"/>
              <w:left w:w="100" w:type="dxa"/>
              <w:bottom w:w="100" w:type="dxa"/>
              <w:right w:w="100" w:type="dxa"/>
            </w:tcMar>
          </w:tcPr>
          <w:p w14:paraId="3CCF5CA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2006-2016</w:t>
            </w:r>
          </w:p>
        </w:tc>
        <w:tc>
          <w:tcPr>
            <w:tcW w:w="1056" w:type="pct"/>
            <w:tcMar>
              <w:top w:w="100" w:type="dxa"/>
              <w:left w:w="100" w:type="dxa"/>
              <w:bottom w:w="100" w:type="dxa"/>
              <w:right w:w="100" w:type="dxa"/>
            </w:tcMar>
          </w:tcPr>
          <w:p w14:paraId="7A21FB3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Peer firms</w:t>
            </w:r>
          </w:p>
        </w:tc>
        <w:tc>
          <w:tcPr>
            <w:tcW w:w="744" w:type="pct"/>
          </w:tcPr>
          <w:p w14:paraId="04AF153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1B44337A" w14:textId="77777777" w:rsidTr="0057655F">
        <w:trPr>
          <w:trHeight w:val="24"/>
        </w:trPr>
        <w:tc>
          <w:tcPr>
            <w:tcW w:w="1136" w:type="pct"/>
            <w:tcMar>
              <w:top w:w="100" w:type="dxa"/>
              <w:left w:w="100" w:type="dxa"/>
              <w:bottom w:w="100" w:type="dxa"/>
              <w:right w:w="100" w:type="dxa"/>
            </w:tcMar>
          </w:tcPr>
          <w:p w14:paraId="31573E0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O'Brien and David, 2014 </w:t>
            </w:r>
          </w:p>
        </w:tc>
        <w:tc>
          <w:tcPr>
            <w:tcW w:w="1446" w:type="pct"/>
            <w:tcMar>
              <w:top w:w="100" w:type="dxa"/>
              <w:left w:w="100" w:type="dxa"/>
              <w:bottom w:w="100" w:type="dxa"/>
              <w:right w:w="100" w:type="dxa"/>
            </w:tcMar>
          </w:tcPr>
          <w:p w14:paraId="7AF2B15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2,123 firms, 18,283 observations</w:t>
            </w:r>
          </w:p>
        </w:tc>
        <w:tc>
          <w:tcPr>
            <w:tcW w:w="618" w:type="pct"/>
            <w:tcMar>
              <w:top w:w="100" w:type="dxa"/>
              <w:left w:w="100" w:type="dxa"/>
              <w:bottom w:w="100" w:type="dxa"/>
              <w:right w:w="100" w:type="dxa"/>
            </w:tcMar>
          </w:tcPr>
          <w:p w14:paraId="4B8B001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1992-2004</w:t>
            </w:r>
          </w:p>
        </w:tc>
        <w:tc>
          <w:tcPr>
            <w:tcW w:w="1056" w:type="pct"/>
            <w:tcMar>
              <w:top w:w="100" w:type="dxa"/>
              <w:left w:w="100" w:type="dxa"/>
              <w:bottom w:w="100" w:type="dxa"/>
              <w:right w:w="100" w:type="dxa"/>
            </w:tcMar>
          </w:tcPr>
          <w:p w14:paraId="2E8E90E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2E58AF2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3EA1C14C" w14:textId="77777777" w:rsidTr="0057655F">
        <w:trPr>
          <w:trHeight w:val="24"/>
        </w:trPr>
        <w:tc>
          <w:tcPr>
            <w:tcW w:w="1136" w:type="pct"/>
            <w:tcMar>
              <w:top w:w="100" w:type="dxa"/>
              <w:left w:w="100" w:type="dxa"/>
              <w:bottom w:w="100" w:type="dxa"/>
              <w:right w:w="100" w:type="dxa"/>
            </w:tcMar>
          </w:tcPr>
          <w:p w14:paraId="22778DAA"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Oehler</w:t>
            </w:r>
            <w:proofErr w:type="spellEnd"/>
            <w:r>
              <w:rPr>
                <w:rFonts w:ascii="Times New Roman" w:eastAsia="Times New Roman" w:hAnsi="Times New Roman" w:cs="Times New Roman"/>
              </w:rPr>
              <w:t xml:space="preserve"> et al., 2019 </w:t>
            </w:r>
          </w:p>
        </w:tc>
        <w:tc>
          <w:tcPr>
            <w:tcW w:w="1446" w:type="pct"/>
            <w:tcMar>
              <w:top w:w="100" w:type="dxa"/>
              <w:left w:w="100" w:type="dxa"/>
              <w:bottom w:w="100" w:type="dxa"/>
              <w:right w:w="100" w:type="dxa"/>
            </w:tcMar>
          </w:tcPr>
          <w:p w14:paraId="5F826B0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184 observations</w:t>
            </w:r>
          </w:p>
        </w:tc>
        <w:tc>
          <w:tcPr>
            <w:tcW w:w="618" w:type="pct"/>
            <w:tcMar>
              <w:top w:w="100" w:type="dxa"/>
              <w:left w:w="100" w:type="dxa"/>
              <w:bottom w:w="100" w:type="dxa"/>
              <w:right w:w="100" w:type="dxa"/>
            </w:tcMar>
          </w:tcPr>
          <w:p w14:paraId="2950D532" w14:textId="77777777" w:rsidR="00750C42" w:rsidRDefault="00750C42" w:rsidP="0057655F">
            <w:pPr>
              <w:jc w:val="center"/>
              <w:rPr>
                <w:rFonts w:ascii="Times New Roman" w:eastAsia="Times New Roman" w:hAnsi="Times New Roman" w:cs="Times New Roman"/>
              </w:rPr>
            </w:pPr>
          </w:p>
        </w:tc>
        <w:tc>
          <w:tcPr>
            <w:tcW w:w="1056" w:type="pct"/>
            <w:tcMar>
              <w:top w:w="100" w:type="dxa"/>
              <w:left w:w="100" w:type="dxa"/>
              <w:bottom w:w="100" w:type="dxa"/>
              <w:right w:w="100" w:type="dxa"/>
            </w:tcMar>
          </w:tcPr>
          <w:p w14:paraId="1D0F96F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Participants with similar backgrounds</w:t>
            </w:r>
          </w:p>
        </w:tc>
        <w:tc>
          <w:tcPr>
            <w:tcW w:w="744" w:type="pct"/>
          </w:tcPr>
          <w:p w14:paraId="7A2027B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7D06B0D1" w14:textId="77777777" w:rsidTr="0057655F">
        <w:trPr>
          <w:trHeight w:val="24"/>
        </w:trPr>
        <w:tc>
          <w:tcPr>
            <w:tcW w:w="1136" w:type="pct"/>
            <w:tcMar>
              <w:top w:w="100" w:type="dxa"/>
              <w:left w:w="100" w:type="dxa"/>
              <w:bottom w:w="100" w:type="dxa"/>
              <w:right w:w="100" w:type="dxa"/>
            </w:tcMar>
          </w:tcPr>
          <w:p w14:paraId="5E8164A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Park, 2007 </w:t>
            </w:r>
          </w:p>
        </w:tc>
        <w:tc>
          <w:tcPr>
            <w:tcW w:w="1446" w:type="pct"/>
            <w:tcMar>
              <w:top w:w="100" w:type="dxa"/>
              <w:left w:w="100" w:type="dxa"/>
              <w:bottom w:w="100" w:type="dxa"/>
              <w:right w:w="100" w:type="dxa"/>
            </w:tcMar>
          </w:tcPr>
          <w:p w14:paraId="24FEADD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315 firms, 236,237 observations</w:t>
            </w:r>
          </w:p>
        </w:tc>
        <w:tc>
          <w:tcPr>
            <w:tcW w:w="618" w:type="pct"/>
            <w:tcMar>
              <w:top w:w="100" w:type="dxa"/>
              <w:left w:w="100" w:type="dxa"/>
              <w:bottom w:w="100" w:type="dxa"/>
              <w:right w:w="100" w:type="dxa"/>
            </w:tcMar>
          </w:tcPr>
          <w:p w14:paraId="5960B94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1985-2000</w:t>
            </w:r>
          </w:p>
        </w:tc>
        <w:tc>
          <w:tcPr>
            <w:tcW w:w="1056" w:type="pct"/>
            <w:tcMar>
              <w:top w:w="100" w:type="dxa"/>
              <w:left w:w="100" w:type="dxa"/>
              <w:bottom w:w="100" w:type="dxa"/>
              <w:right w:w="100" w:type="dxa"/>
            </w:tcMar>
          </w:tcPr>
          <w:p w14:paraId="6EB1736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Dyads based on strategic similarity</w:t>
            </w:r>
          </w:p>
        </w:tc>
        <w:tc>
          <w:tcPr>
            <w:tcW w:w="744" w:type="pct"/>
          </w:tcPr>
          <w:p w14:paraId="28A5D5C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1CCAB4CC" w14:textId="77777777" w:rsidTr="0057655F">
        <w:trPr>
          <w:trHeight w:val="24"/>
        </w:trPr>
        <w:tc>
          <w:tcPr>
            <w:tcW w:w="1136" w:type="pct"/>
            <w:tcMar>
              <w:top w:w="100" w:type="dxa"/>
              <w:left w:w="100" w:type="dxa"/>
              <w:bottom w:w="100" w:type="dxa"/>
              <w:right w:w="100" w:type="dxa"/>
            </w:tcMar>
          </w:tcPr>
          <w:p w14:paraId="04BA425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Parker et al., 2017</w:t>
            </w:r>
          </w:p>
        </w:tc>
        <w:tc>
          <w:tcPr>
            <w:tcW w:w="1446" w:type="pct"/>
            <w:tcMar>
              <w:top w:w="100" w:type="dxa"/>
              <w:left w:w="100" w:type="dxa"/>
              <w:bottom w:w="100" w:type="dxa"/>
              <w:right w:w="100" w:type="dxa"/>
            </w:tcMar>
          </w:tcPr>
          <w:p w14:paraId="78905D6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48 firms, 1,332 observations</w:t>
            </w:r>
          </w:p>
        </w:tc>
        <w:tc>
          <w:tcPr>
            <w:tcW w:w="618" w:type="pct"/>
            <w:tcMar>
              <w:top w:w="100" w:type="dxa"/>
              <w:left w:w="100" w:type="dxa"/>
              <w:bottom w:w="100" w:type="dxa"/>
              <w:right w:w="100" w:type="dxa"/>
            </w:tcMar>
          </w:tcPr>
          <w:p w14:paraId="555CD33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2006-2009</w:t>
            </w:r>
          </w:p>
        </w:tc>
        <w:tc>
          <w:tcPr>
            <w:tcW w:w="1056" w:type="pct"/>
            <w:tcMar>
              <w:top w:w="100" w:type="dxa"/>
              <w:left w:w="100" w:type="dxa"/>
              <w:bottom w:w="100" w:type="dxa"/>
              <w:right w:w="100" w:type="dxa"/>
            </w:tcMar>
          </w:tcPr>
          <w:p w14:paraId="651F12C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742078E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4A84A3A0" w14:textId="77777777" w:rsidTr="0057655F">
        <w:trPr>
          <w:trHeight w:val="24"/>
        </w:trPr>
        <w:tc>
          <w:tcPr>
            <w:tcW w:w="1136" w:type="pct"/>
            <w:tcMar>
              <w:top w:w="100" w:type="dxa"/>
              <w:left w:w="100" w:type="dxa"/>
              <w:bottom w:w="100" w:type="dxa"/>
              <w:right w:w="100" w:type="dxa"/>
            </w:tcMar>
          </w:tcPr>
          <w:p w14:paraId="2786B43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Rhee et al., 2019 </w:t>
            </w:r>
          </w:p>
        </w:tc>
        <w:tc>
          <w:tcPr>
            <w:tcW w:w="1446" w:type="pct"/>
            <w:tcMar>
              <w:top w:w="100" w:type="dxa"/>
              <w:left w:w="100" w:type="dxa"/>
              <w:bottom w:w="100" w:type="dxa"/>
              <w:right w:w="100" w:type="dxa"/>
            </w:tcMar>
          </w:tcPr>
          <w:p w14:paraId="75BCDEC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236 firms, 1,274 observations</w:t>
            </w:r>
          </w:p>
        </w:tc>
        <w:tc>
          <w:tcPr>
            <w:tcW w:w="618" w:type="pct"/>
            <w:tcMar>
              <w:top w:w="100" w:type="dxa"/>
              <w:left w:w="100" w:type="dxa"/>
              <w:bottom w:w="100" w:type="dxa"/>
              <w:right w:w="100" w:type="dxa"/>
            </w:tcMar>
          </w:tcPr>
          <w:p w14:paraId="69BC2E1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2001-2008</w:t>
            </w:r>
          </w:p>
        </w:tc>
        <w:tc>
          <w:tcPr>
            <w:tcW w:w="1056" w:type="pct"/>
            <w:tcMar>
              <w:top w:w="100" w:type="dxa"/>
              <w:left w:w="100" w:type="dxa"/>
              <w:bottom w:w="100" w:type="dxa"/>
              <w:right w:w="100" w:type="dxa"/>
            </w:tcMar>
          </w:tcPr>
          <w:p w14:paraId="7342386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Business groups</w:t>
            </w:r>
          </w:p>
        </w:tc>
        <w:tc>
          <w:tcPr>
            <w:tcW w:w="744" w:type="pct"/>
          </w:tcPr>
          <w:p w14:paraId="4E7A726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09A71931" w14:textId="77777777" w:rsidTr="0057655F">
        <w:trPr>
          <w:trHeight w:val="24"/>
        </w:trPr>
        <w:tc>
          <w:tcPr>
            <w:tcW w:w="1136" w:type="pct"/>
            <w:tcMar>
              <w:top w:w="100" w:type="dxa"/>
              <w:left w:w="100" w:type="dxa"/>
              <w:bottom w:w="100" w:type="dxa"/>
              <w:right w:w="100" w:type="dxa"/>
            </w:tcMar>
          </w:tcPr>
          <w:p w14:paraId="5D861DC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Rostami, 2008 </w:t>
            </w:r>
          </w:p>
        </w:tc>
        <w:tc>
          <w:tcPr>
            <w:tcW w:w="1446" w:type="pct"/>
            <w:tcMar>
              <w:top w:w="100" w:type="dxa"/>
              <w:left w:w="100" w:type="dxa"/>
              <w:bottom w:w="100" w:type="dxa"/>
              <w:right w:w="100" w:type="dxa"/>
            </w:tcMar>
          </w:tcPr>
          <w:p w14:paraId="7D30F6F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79 firms, 948 observations</w:t>
            </w:r>
          </w:p>
        </w:tc>
        <w:tc>
          <w:tcPr>
            <w:tcW w:w="618" w:type="pct"/>
            <w:tcMar>
              <w:top w:w="100" w:type="dxa"/>
              <w:left w:w="100" w:type="dxa"/>
              <w:bottom w:w="100" w:type="dxa"/>
              <w:right w:w="100" w:type="dxa"/>
            </w:tcMar>
          </w:tcPr>
          <w:p w14:paraId="5A7E565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1991-2002</w:t>
            </w:r>
          </w:p>
        </w:tc>
        <w:tc>
          <w:tcPr>
            <w:tcW w:w="1056" w:type="pct"/>
            <w:tcMar>
              <w:top w:w="100" w:type="dxa"/>
              <w:left w:w="100" w:type="dxa"/>
              <w:bottom w:w="100" w:type="dxa"/>
              <w:right w:w="100" w:type="dxa"/>
            </w:tcMar>
          </w:tcPr>
          <w:p w14:paraId="3BC40D5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6B3FCCF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755D0B96" w14:textId="77777777" w:rsidTr="0057655F">
        <w:trPr>
          <w:trHeight w:val="24"/>
        </w:trPr>
        <w:tc>
          <w:tcPr>
            <w:tcW w:w="1136" w:type="pct"/>
            <w:tcMar>
              <w:top w:w="100" w:type="dxa"/>
              <w:left w:w="100" w:type="dxa"/>
              <w:bottom w:w="100" w:type="dxa"/>
              <w:right w:w="100" w:type="dxa"/>
            </w:tcMar>
          </w:tcPr>
          <w:p w14:paraId="6A7E313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Rowley et al., 2017 </w:t>
            </w:r>
          </w:p>
        </w:tc>
        <w:tc>
          <w:tcPr>
            <w:tcW w:w="1446" w:type="pct"/>
            <w:tcMar>
              <w:top w:w="100" w:type="dxa"/>
              <w:left w:w="100" w:type="dxa"/>
              <w:bottom w:w="100" w:type="dxa"/>
              <w:right w:w="100" w:type="dxa"/>
            </w:tcMar>
          </w:tcPr>
          <w:p w14:paraId="0632B83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2,736 observations</w:t>
            </w:r>
          </w:p>
        </w:tc>
        <w:tc>
          <w:tcPr>
            <w:tcW w:w="618" w:type="pct"/>
            <w:tcMar>
              <w:top w:w="100" w:type="dxa"/>
              <w:left w:w="100" w:type="dxa"/>
              <w:bottom w:w="100" w:type="dxa"/>
              <w:right w:w="100" w:type="dxa"/>
            </w:tcMar>
          </w:tcPr>
          <w:p w14:paraId="62D2CAE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 2001-2010</w:t>
            </w:r>
          </w:p>
        </w:tc>
        <w:tc>
          <w:tcPr>
            <w:tcW w:w="1056" w:type="pct"/>
            <w:tcMar>
              <w:top w:w="100" w:type="dxa"/>
              <w:left w:w="100" w:type="dxa"/>
              <w:bottom w:w="100" w:type="dxa"/>
              <w:right w:w="100" w:type="dxa"/>
            </w:tcMar>
          </w:tcPr>
          <w:p w14:paraId="4BBF22D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7EA75B0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1BAF73B0" w14:textId="77777777" w:rsidTr="0057655F">
        <w:trPr>
          <w:trHeight w:val="24"/>
        </w:trPr>
        <w:tc>
          <w:tcPr>
            <w:tcW w:w="1136" w:type="pct"/>
            <w:tcMar>
              <w:top w:w="100" w:type="dxa"/>
              <w:left w:w="100" w:type="dxa"/>
              <w:bottom w:w="100" w:type="dxa"/>
              <w:right w:w="100" w:type="dxa"/>
            </w:tcMar>
          </w:tcPr>
          <w:p w14:paraId="0D92821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Rudy and Johnson, 2016  </w:t>
            </w:r>
          </w:p>
        </w:tc>
        <w:tc>
          <w:tcPr>
            <w:tcW w:w="1446" w:type="pct"/>
            <w:tcMar>
              <w:top w:w="100" w:type="dxa"/>
              <w:left w:w="100" w:type="dxa"/>
              <w:bottom w:w="100" w:type="dxa"/>
              <w:right w:w="100" w:type="dxa"/>
            </w:tcMar>
          </w:tcPr>
          <w:p w14:paraId="489564E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100 firms, 2,190 observations</w:t>
            </w:r>
          </w:p>
        </w:tc>
        <w:tc>
          <w:tcPr>
            <w:tcW w:w="618" w:type="pct"/>
            <w:tcMar>
              <w:top w:w="100" w:type="dxa"/>
              <w:left w:w="100" w:type="dxa"/>
              <w:bottom w:w="100" w:type="dxa"/>
              <w:right w:w="100" w:type="dxa"/>
            </w:tcMar>
          </w:tcPr>
          <w:p w14:paraId="264DB74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1980-2006</w:t>
            </w:r>
          </w:p>
        </w:tc>
        <w:tc>
          <w:tcPr>
            <w:tcW w:w="1056" w:type="pct"/>
            <w:tcMar>
              <w:top w:w="100" w:type="dxa"/>
              <w:left w:w="100" w:type="dxa"/>
              <w:bottom w:w="100" w:type="dxa"/>
              <w:right w:w="100" w:type="dxa"/>
            </w:tcMar>
          </w:tcPr>
          <w:p w14:paraId="0E7C2CA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4CCAD08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7EFA6C9D" w14:textId="77777777" w:rsidTr="0057655F">
        <w:trPr>
          <w:trHeight w:val="24"/>
        </w:trPr>
        <w:tc>
          <w:tcPr>
            <w:tcW w:w="1136" w:type="pct"/>
            <w:tcMar>
              <w:top w:w="100" w:type="dxa"/>
              <w:left w:w="100" w:type="dxa"/>
              <w:bottom w:w="100" w:type="dxa"/>
              <w:right w:w="100" w:type="dxa"/>
            </w:tcMar>
          </w:tcPr>
          <w:p w14:paraId="34F5DED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Saraf et al., 2021 </w:t>
            </w:r>
          </w:p>
        </w:tc>
        <w:tc>
          <w:tcPr>
            <w:tcW w:w="1446" w:type="pct"/>
            <w:tcMar>
              <w:top w:w="100" w:type="dxa"/>
              <w:left w:w="100" w:type="dxa"/>
              <w:bottom w:w="100" w:type="dxa"/>
              <w:right w:w="100" w:type="dxa"/>
            </w:tcMar>
          </w:tcPr>
          <w:p w14:paraId="57727E8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 1,466 firms, 7,330 observations</w:t>
            </w:r>
          </w:p>
        </w:tc>
        <w:tc>
          <w:tcPr>
            <w:tcW w:w="618" w:type="pct"/>
            <w:tcMar>
              <w:top w:w="100" w:type="dxa"/>
              <w:left w:w="100" w:type="dxa"/>
              <w:bottom w:w="100" w:type="dxa"/>
              <w:right w:w="100" w:type="dxa"/>
            </w:tcMar>
          </w:tcPr>
          <w:p w14:paraId="5E6DB3A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1999-2006</w:t>
            </w:r>
          </w:p>
        </w:tc>
        <w:tc>
          <w:tcPr>
            <w:tcW w:w="1056" w:type="pct"/>
            <w:tcMar>
              <w:top w:w="100" w:type="dxa"/>
              <w:left w:w="100" w:type="dxa"/>
              <w:bottom w:w="100" w:type="dxa"/>
              <w:right w:w="100" w:type="dxa"/>
            </w:tcMar>
          </w:tcPr>
          <w:p w14:paraId="3191CBA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Similar firms based on size and sector</w:t>
            </w:r>
          </w:p>
        </w:tc>
        <w:tc>
          <w:tcPr>
            <w:tcW w:w="744" w:type="pct"/>
          </w:tcPr>
          <w:p w14:paraId="413DE80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09572065" w14:textId="77777777" w:rsidTr="0057655F">
        <w:trPr>
          <w:trHeight w:val="24"/>
        </w:trPr>
        <w:tc>
          <w:tcPr>
            <w:tcW w:w="1136" w:type="pct"/>
            <w:tcMar>
              <w:top w:w="100" w:type="dxa"/>
              <w:left w:w="100" w:type="dxa"/>
              <w:bottom w:w="100" w:type="dxa"/>
              <w:right w:w="100" w:type="dxa"/>
            </w:tcMar>
          </w:tcPr>
          <w:p w14:paraId="6825C5B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Say and Vasudeva, 2020 </w:t>
            </w:r>
          </w:p>
        </w:tc>
        <w:tc>
          <w:tcPr>
            <w:tcW w:w="1446" w:type="pct"/>
            <w:tcMar>
              <w:top w:w="100" w:type="dxa"/>
              <w:left w:w="100" w:type="dxa"/>
              <w:bottom w:w="100" w:type="dxa"/>
              <w:right w:w="100" w:type="dxa"/>
            </w:tcMar>
          </w:tcPr>
          <w:p w14:paraId="0C1EA89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46,182 observations</w:t>
            </w:r>
          </w:p>
        </w:tc>
        <w:tc>
          <w:tcPr>
            <w:tcW w:w="618" w:type="pct"/>
            <w:tcMar>
              <w:top w:w="100" w:type="dxa"/>
              <w:left w:w="100" w:type="dxa"/>
              <w:bottom w:w="100" w:type="dxa"/>
              <w:right w:w="100" w:type="dxa"/>
            </w:tcMar>
          </w:tcPr>
          <w:p w14:paraId="0F35872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2005-2016</w:t>
            </w:r>
          </w:p>
        </w:tc>
        <w:tc>
          <w:tcPr>
            <w:tcW w:w="1056" w:type="pct"/>
            <w:tcMar>
              <w:top w:w="100" w:type="dxa"/>
              <w:left w:w="100" w:type="dxa"/>
              <w:bottom w:w="100" w:type="dxa"/>
              <w:right w:w="100" w:type="dxa"/>
            </w:tcMar>
          </w:tcPr>
          <w:p w14:paraId="138F0A7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719201A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54326106" w14:textId="77777777" w:rsidTr="0057655F">
        <w:trPr>
          <w:trHeight w:val="24"/>
        </w:trPr>
        <w:tc>
          <w:tcPr>
            <w:tcW w:w="1136" w:type="pct"/>
            <w:tcMar>
              <w:top w:w="100" w:type="dxa"/>
              <w:left w:w="100" w:type="dxa"/>
              <w:bottom w:w="100" w:type="dxa"/>
              <w:right w:w="100" w:type="dxa"/>
            </w:tcMar>
          </w:tcPr>
          <w:p w14:paraId="6E826E5F"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Schimmer</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Brauer</w:t>
            </w:r>
            <w:proofErr w:type="spellEnd"/>
            <w:r>
              <w:rPr>
                <w:rFonts w:ascii="Times New Roman" w:eastAsia="Times New Roman" w:hAnsi="Times New Roman" w:cs="Times New Roman"/>
              </w:rPr>
              <w:t xml:space="preserve">, 2012 </w:t>
            </w:r>
          </w:p>
        </w:tc>
        <w:tc>
          <w:tcPr>
            <w:tcW w:w="1446" w:type="pct"/>
            <w:tcMar>
              <w:top w:w="100" w:type="dxa"/>
              <w:left w:w="100" w:type="dxa"/>
              <w:bottom w:w="100" w:type="dxa"/>
              <w:right w:w="100" w:type="dxa"/>
            </w:tcMar>
          </w:tcPr>
          <w:p w14:paraId="1CD12EB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1,191 firms, 10,719 observations</w:t>
            </w:r>
          </w:p>
        </w:tc>
        <w:tc>
          <w:tcPr>
            <w:tcW w:w="618" w:type="pct"/>
            <w:tcMar>
              <w:top w:w="100" w:type="dxa"/>
              <w:left w:w="100" w:type="dxa"/>
              <w:bottom w:w="100" w:type="dxa"/>
              <w:right w:w="100" w:type="dxa"/>
            </w:tcMar>
          </w:tcPr>
          <w:p w14:paraId="1FFB0F2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1999-2008</w:t>
            </w:r>
          </w:p>
        </w:tc>
        <w:tc>
          <w:tcPr>
            <w:tcW w:w="1056" w:type="pct"/>
            <w:tcMar>
              <w:top w:w="100" w:type="dxa"/>
              <w:left w:w="100" w:type="dxa"/>
              <w:bottom w:w="100" w:type="dxa"/>
              <w:right w:w="100" w:type="dxa"/>
            </w:tcMar>
          </w:tcPr>
          <w:p w14:paraId="7D814D1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Dyads</w:t>
            </w:r>
          </w:p>
        </w:tc>
        <w:tc>
          <w:tcPr>
            <w:tcW w:w="744" w:type="pct"/>
          </w:tcPr>
          <w:p w14:paraId="64776A3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5467B8AD" w14:textId="77777777" w:rsidTr="0057655F">
        <w:trPr>
          <w:trHeight w:val="24"/>
        </w:trPr>
        <w:tc>
          <w:tcPr>
            <w:tcW w:w="1136" w:type="pct"/>
            <w:tcMar>
              <w:top w:w="100" w:type="dxa"/>
              <w:left w:w="100" w:type="dxa"/>
              <w:bottom w:w="100" w:type="dxa"/>
              <w:right w:w="100" w:type="dxa"/>
            </w:tcMar>
          </w:tcPr>
          <w:p w14:paraId="2BC100F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Schumacher et al., 2020 </w:t>
            </w:r>
          </w:p>
        </w:tc>
        <w:tc>
          <w:tcPr>
            <w:tcW w:w="1446" w:type="pct"/>
            <w:tcMar>
              <w:top w:w="100" w:type="dxa"/>
              <w:left w:w="100" w:type="dxa"/>
              <w:bottom w:w="100" w:type="dxa"/>
              <w:right w:w="100" w:type="dxa"/>
            </w:tcMar>
          </w:tcPr>
          <w:p w14:paraId="264FD3A3"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824 firms, 5,482 observations</w:t>
            </w:r>
          </w:p>
        </w:tc>
        <w:tc>
          <w:tcPr>
            <w:tcW w:w="618" w:type="pct"/>
            <w:tcMar>
              <w:top w:w="100" w:type="dxa"/>
              <w:left w:w="100" w:type="dxa"/>
              <w:bottom w:w="100" w:type="dxa"/>
              <w:right w:w="100" w:type="dxa"/>
            </w:tcMar>
          </w:tcPr>
          <w:p w14:paraId="5F76D30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1992-2014</w:t>
            </w:r>
          </w:p>
        </w:tc>
        <w:tc>
          <w:tcPr>
            <w:tcW w:w="1056" w:type="pct"/>
            <w:tcMar>
              <w:top w:w="100" w:type="dxa"/>
              <w:left w:w="100" w:type="dxa"/>
              <w:bottom w:w="100" w:type="dxa"/>
              <w:right w:w="100" w:type="dxa"/>
            </w:tcMar>
          </w:tcPr>
          <w:p w14:paraId="6C89AF7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791C795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0315CCCD" w14:textId="77777777" w:rsidTr="0057655F">
        <w:trPr>
          <w:trHeight w:val="24"/>
        </w:trPr>
        <w:tc>
          <w:tcPr>
            <w:tcW w:w="1136" w:type="pct"/>
            <w:tcMar>
              <w:top w:w="100" w:type="dxa"/>
              <w:left w:w="100" w:type="dxa"/>
              <w:bottom w:w="100" w:type="dxa"/>
              <w:right w:w="100" w:type="dxa"/>
            </w:tcMar>
          </w:tcPr>
          <w:p w14:paraId="2A2495FF"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lastRenderedPageBreak/>
              <w:t>Sengul</w:t>
            </w:r>
            <w:proofErr w:type="spellEnd"/>
            <w:r>
              <w:rPr>
                <w:rFonts w:ascii="Times New Roman" w:eastAsia="Times New Roman" w:hAnsi="Times New Roman" w:cs="Times New Roman"/>
              </w:rPr>
              <w:t xml:space="preserve"> and </w:t>
            </w:r>
            <w:proofErr w:type="spellStart"/>
            <w:r>
              <w:rPr>
                <w:rFonts w:ascii="Times New Roman" w:eastAsia="Times New Roman" w:hAnsi="Times New Roman" w:cs="Times New Roman"/>
              </w:rPr>
              <w:t>Obloj</w:t>
            </w:r>
            <w:proofErr w:type="spellEnd"/>
            <w:r>
              <w:rPr>
                <w:rFonts w:ascii="Times New Roman" w:eastAsia="Times New Roman" w:hAnsi="Times New Roman" w:cs="Times New Roman"/>
              </w:rPr>
              <w:t xml:space="preserve">, 2017 </w:t>
            </w:r>
          </w:p>
        </w:tc>
        <w:tc>
          <w:tcPr>
            <w:tcW w:w="1446" w:type="pct"/>
            <w:tcMar>
              <w:top w:w="100" w:type="dxa"/>
              <w:left w:w="100" w:type="dxa"/>
              <w:bottom w:w="100" w:type="dxa"/>
              <w:right w:w="100" w:type="dxa"/>
            </w:tcMar>
          </w:tcPr>
          <w:p w14:paraId="589B269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456 firms, 1,206 observations</w:t>
            </w:r>
          </w:p>
        </w:tc>
        <w:tc>
          <w:tcPr>
            <w:tcW w:w="618" w:type="pct"/>
            <w:tcMar>
              <w:top w:w="100" w:type="dxa"/>
              <w:left w:w="100" w:type="dxa"/>
              <w:bottom w:w="100" w:type="dxa"/>
              <w:right w:w="100" w:type="dxa"/>
            </w:tcMar>
          </w:tcPr>
          <w:p w14:paraId="532519B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1998-2004</w:t>
            </w:r>
          </w:p>
        </w:tc>
        <w:tc>
          <w:tcPr>
            <w:tcW w:w="1056" w:type="pct"/>
            <w:tcMar>
              <w:top w:w="100" w:type="dxa"/>
              <w:left w:w="100" w:type="dxa"/>
              <w:bottom w:w="100" w:type="dxa"/>
              <w:right w:w="100" w:type="dxa"/>
            </w:tcMar>
          </w:tcPr>
          <w:p w14:paraId="51597D8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7131159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6F38FE3F" w14:textId="77777777" w:rsidTr="0057655F">
        <w:trPr>
          <w:trHeight w:val="24"/>
        </w:trPr>
        <w:tc>
          <w:tcPr>
            <w:tcW w:w="1136" w:type="pct"/>
            <w:tcMar>
              <w:top w:w="100" w:type="dxa"/>
              <w:left w:w="100" w:type="dxa"/>
              <w:bottom w:w="100" w:type="dxa"/>
              <w:right w:w="100" w:type="dxa"/>
            </w:tcMar>
          </w:tcPr>
          <w:p w14:paraId="765E75AA" w14:textId="77777777" w:rsidR="00750C42" w:rsidRDefault="00750C42" w:rsidP="0057655F">
            <w:pPr>
              <w:jc w:val="center"/>
              <w:rPr>
                <w:rFonts w:ascii="Times New Roman" w:eastAsia="Times New Roman" w:hAnsi="Times New Roman" w:cs="Times New Roman"/>
              </w:rPr>
            </w:pPr>
            <w:proofErr w:type="spellStart"/>
            <w:r w:rsidRPr="00AF26B7">
              <w:rPr>
                <w:rFonts w:ascii="Times New Roman" w:eastAsia="Times New Roman" w:hAnsi="Times New Roman" w:cs="Times New Roman"/>
              </w:rPr>
              <w:t>Shijaku</w:t>
            </w:r>
            <w:proofErr w:type="spellEnd"/>
            <w:r w:rsidRPr="00AF26B7">
              <w:rPr>
                <w:rFonts w:ascii="Times New Roman" w:eastAsia="Times New Roman" w:hAnsi="Times New Roman" w:cs="Times New Roman"/>
              </w:rPr>
              <w:t xml:space="preserve"> et al.</w:t>
            </w:r>
            <w:r>
              <w:rPr>
                <w:rFonts w:ascii="Times New Roman" w:eastAsia="Times New Roman" w:hAnsi="Times New Roman" w:cs="Times New Roman"/>
              </w:rPr>
              <w:t xml:space="preserve">, 2018 </w:t>
            </w:r>
          </w:p>
        </w:tc>
        <w:tc>
          <w:tcPr>
            <w:tcW w:w="1446" w:type="pct"/>
            <w:tcMar>
              <w:top w:w="100" w:type="dxa"/>
              <w:left w:w="100" w:type="dxa"/>
              <w:bottom w:w="100" w:type="dxa"/>
              <w:right w:w="100" w:type="dxa"/>
            </w:tcMar>
          </w:tcPr>
          <w:p w14:paraId="20D4E68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81 firms, 7,760 observations</w:t>
            </w:r>
          </w:p>
        </w:tc>
        <w:tc>
          <w:tcPr>
            <w:tcW w:w="618" w:type="pct"/>
            <w:tcMar>
              <w:top w:w="100" w:type="dxa"/>
              <w:left w:w="100" w:type="dxa"/>
              <w:bottom w:w="100" w:type="dxa"/>
              <w:right w:w="100" w:type="dxa"/>
            </w:tcMar>
          </w:tcPr>
          <w:p w14:paraId="229BDB6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2002-2013</w:t>
            </w:r>
          </w:p>
        </w:tc>
        <w:tc>
          <w:tcPr>
            <w:tcW w:w="1056" w:type="pct"/>
            <w:tcMar>
              <w:top w:w="100" w:type="dxa"/>
              <w:left w:w="100" w:type="dxa"/>
              <w:bottom w:w="100" w:type="dxa"/>
              <w:right w:w="100" w:type="dxa"/>
            </w:tcMar>
          </w:tcPr>
          <w:p w14:paraId="503DA20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677E315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3AE2FB0F" w14:textId="77777777" w:rsidTr="0057655F">
        <w:trPr>
          <w:trHeight w:val="24"/>
        </w:trPr>
        <w:tc>
          <w:tcPr>
            <w:tcW w:w="1136" w:type="pct"/>
            <w:tcMar>
              <w:top w:w="100" w:type="dxa"/>
              <w:left w:w="100" w:type="dxa"/>
              <w:bottom w:w="100" w:type="dxa"/>
              <w:right w:w="100" w:type="dxa"/>
            </w:tcMar>
          </w:tcPr>
          <w:p w14:paraId="787EB6F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Shimizu, 2007 </w:t>
            </w:r>
          </w:p>
        </w:tc>
        <w:tc>
          <w:tcPr>
            <w:tcW w:w="1446" w:type="pct"/>
            <w:tcMar>
              <w:top w:w="100" w:type="dxa"/>
              <w:left w:w="100" w:type="dxa"/>
              <w:bottom w:w="100" w:type="dxa"/>
              <w:right w:w="100" w:type="dxa"/>
            </w:tcMar>
          </w:tcPr>
          <w:p w14:paraId="303CFF5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68 firms, 1,544 observations</w:t>
            </w:r>
          </w:p>
        </w:tc>
        <w:tc>
          <w:tcPr>
            <w:tcW w:w="618" w:type="pct"/>
            <w:tcMar>
              <w:top w:w="100" w:type="dxa"/>
              <w:left w:w="100" w:type="dxa"/>
              <w:bottom w:w="100" w:type="dxa"/>
              <w:right w:w="100" w:type="dxa"/>
            </w:tcMar>
          </w:tcPr>
          <w:p w14:paraId="2F1D551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1988-1998</w:t>
            </w:r>
          </w:p>
        </w:tc>
        <w:tc>
          <w:tcPr>
            <w:tcW w:w="1056" w:type="pct"/>
            <w:tcMar>
              <w:top w:w="100" w:type="dxa"/>
              <w:left w:w="100" w:type="dxa"/>
              <w:bottom w:w="100" w:type="dxa"/>
              <w:right w:w="100" w:type="dxa"/>
            </w:tcMar>
          </w:tcPr>
          <w:p w14:paraId="1356706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762314D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000F2E58" w14:textId="77777777" w:rsidTr="0057655F">
        <w:trPr>
          <w:trHeight w:val="24"/>
        </w:trPr>
        <w:tc>
          <w:tcPr>
            <w:tcW w:w="1136" w:type="pct"/>
            <w:tcMar>
              <w:top w:w="100" w:type="dxa"/>
              <w:left w:w="100" w:type="dxa"/>
              <w:bottom w:w="100" w:type="dxa"/>
              <w:right w:w="100" w:type="dxa"/>
            </w:tcMar>
          </w:tcPr>
          <w:p w14:paraId="30C6339C"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Shipilov</w:t>
            </w:r>
            <w:proofErr w:type="spellEnd"/>
            <w:r>
              <w:rPr>
                <w:rFonts w:ascii="Times New Roman" w:eastAsia="Times New Roman" w:hAnsi="Times New Roman" w:cs="Times New Roman"/>
              </w:rPr>
              <w:t xml:space="preserve"> et al., 2011 </w:t>
            </w:r>
          </w:p>
        </w:tc>
        <w:tc>
          <w:tcPr>
            <w:tcW w:w="1446" w:type="pct"/>
            <w:tcMar>
              <w:top w:w="100" w:type="dxa"/>
              <w:left w:w="100" w:type="dxa"/>
              <w:bottom w:w="100" w:type="dxa"/>
              <w:right w:w="100" w:type="dxa"/>
            </w:tcMar>
          </w:tcPr>
          <w:p w14:paraId="3EB6B44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21,706 observations</w:t>
            </w:r>
          </w:p>
        </w:tc>
        <w:tc>
          <w:tcPr>
            <w:tcW w:w="618" w:type="pct"/>
            <w:tcMar>
              <w:top w:w="100" w:type="dxa"/>
              <w:left w:w="100" w:type="dxa"/>
              <w:bottom w:w="100" w:type="dxa"/>
              <w:right w:w="100" w:type="dxa"/>
            </w:tcMar>
          </w:tcPr>
          <w:p w14:paraId="022DC72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1979-2001</w:t>
            </w:r>
          </w:p>
        </w:tc>
        <w:tc>
          <w:tcPr>
            <w:tcW w:w="1056" w:type="pct"/>
            <w:tcMar>
              <w:top w:w="100" w:type="dxa"/>
              <w:left w:w="100" w:type="dxa"/>
              <w:bottom w:w="100" w:type="dxa"/>
              <w:right w:w="100" w:type="dxa"/>
            </w:tcMar>
          </w:tcPr>
          <w:p w14:paraId="313DFD1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Firms with similar market shares</w:t>
            </w:r>
          </w:p>
        </w:tc>
        <w:tc>
          <w:tcPr>
            <w:tcW w:w="744" w:type="pct"/>
          </w:tcPr>
          <w:p w14:paraId="3222E74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Self-assessment</w:t>
            </w:r>
          </w:p>
        </w:tc>
      </w:tr>
      <w:tr w:rsidR="00750C42" w14:paraId="71B2ECCD" w14:textId="77777777" w:rsidTr="0057655F">
        <w:trPr>
          <w:trHeight w:val="24"/>
        </w:trPr>
        <w:tc>
          <w:tcPr>
            <w:tcW w:w="1136" w:type="pct"/>
            <w:tcMar>
              <w:top w:w="100" w:type="dxa"/>
              <w:left w:w="100" w:type="dxa"/>
              <w:bottom w:w="100" w:type="dxa"/>
              <w:right w:w="100" w:type="dxa"/>
            </w:tcMar>
          </w:tcPr>
          <w:p w14:paraId="61718523"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Smulovitz</w:t>
            </w:r>
            <w:proofErr w:type="spellEnd"/>
            <w:r>
              <w:rPr>
                <w:rFonts w:ascii="Times New Roman" w:eastAsia="Times New Roman" w:hAnsi="Times New Roman" w:cs="Times New Roman"/>
              </w:rPr>
              <w:t xml:space="preserve"> et al., 2020 </w:t>
            </w:r>
          </w:p>
        </w:tc>
        <w:tc>
          <w:tcPr>
            <w:tcW w:w="1446" w:type="pct"/>
            <w:tcMar>
              <w:top w:w="100" w:type="dxa"/>
              <w:left w:w="100" w:type="dxa"/>
              <w:bottom w:w="100" w:type="dxa"/>
              <w:right w:w="100" w:type="dxa"/>
            </w:tcMar>
          </w:tcPr>
          <w:p w14:paraId="5B0D7F2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11,365 firms, 73,401 observations</w:t>
            </w:r>
          </w:p>
        </w:tc>
        <w:tc>
          <w:tcPr>
            <w:tcW w:w="618" w:type="pct"/>
            <w:tcMar>
              <w:top w:w="100" w:type="dxa"/>
              <w:left w:w="100" w:type="dxa"/>
              <w:bottom w:w="100" w:type="dxa"/>
              <w:right w:w="100" w:type="dxa"/>
            </w:tcMar>
          </w:tcPr>
          <w:p w14:paraId="2FD326A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2005-2013</w:t>
            </w:r>
          </w:p>
        </w:tc>
        <w:tc>
          <w:tcPr>
            <w:tcW w:w="1056" w:type="pct"/>
            <w:tcMar>
              <w:top w:w="100" w:type="dxa"/>
              <w:left w:w="100" w:type="dxa"/>
              <w:bottom w:w="100" w:type="dxa"/>
              <w:right w:w="100" w:type="dxa"/>
            </w:tcMar>
          </w:tcPr>
          <w:p w14:paraId="527E8C5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5BDABDD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39FEF051" w14:textId="77777777" w:rsidTr="0057655F">
        <w:trPr>
          <w:trHeight w:val="24"/>
        </w:trPr>
        <w:tc>
          <w:tcPr>
            <w:tcW w:w="1136" w:type="pct"/>
            <w:tcMar>
              <w:top w:w="100" w:type="dxa"/>
              <w:left w:w="100" w:type="dxa"/>
              <w:bottom w:w="100" w:type="dxa"/>
              <w:right w:w="100" w:type="dxa"/>
            </w:tcMar>
          </w:tcPr>
          <w:p w14:paraId="783357AD"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Su</w:t>
            </w:r>
            <w:proofErr w:type="spellEnd"/>
            <w:r>
              <w:rPr>
                <w:rFonts w:ascii="Times New Roman" w:eastAsia="Times New Roman" w:hAnsi="Times New Roman" w:cs="Times New Roman"/>
              </w:rPr>
              <w:t xml:space="preserve"> and Si, 2015 </w:t>
            </w:r>
          </w:p>
        </w:tc>
        <w:tc>
          <w:tcPr>
            <w:tcW w:w="1446" w:type="pct"/>
            <w:tcMar>
              <w:top w:w="100" w:type="dxa"/>
              <w:left w:w="100" w:type="dxa"/>
              <w:bottom w:w="100" w:type="dxa"/>
              <w:right w:w="100" w:type="dxa"/>
            </w:tcMar>
          </w:tcPr>
          <w:p w14:paraId="64B7749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75 firms, 609 observations</w:t>
            </w:r>
          </w:p>
        </w:tc>
        <w:tc>
          <w:tcPr>
            <w:tcW w:w="618" w:type="pct"/>
            <w:tcMar>
              <w:top w:w="100" w:type="dxa"/>
              <w:left w:w="100" w:type="dxa"/>
              <w:bottom w:w="100" w:type="dxa"/>
              <w:right w:w="100" w:type="dxa"/>
            </w:tcMar>
          </w:tcPr>
          <w:p w14:paraId="6CFFCE1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1995-2010</w:t>
            </w:r>
          </w:p>
        </w:tc>
        <w:tc>
          <w:tcPr>
            <w:tcW w:w="1056" w:type="pct"/>
            <w:tcMar>
              <w:top w:w="100" w:type="dxa"/>
              <w:left w:w="100" w:type="dxa"/>
              <w:bottom w:w="100" w:type="dxa"/>
              <w:right w:w="100" w:type="dxa"/>
            </w:tcMar>
          </w:tcPr>
          <w:p w14:paraId="2C924C61"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0389012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4CE199C9" w14:textId="77777777" w:rsidTr="0057655F">
        <w:trPr>
          <w:trHeight w:val="24"/>
        </w:trPr>
        <w:tc>
          <w:tcPr>
            <w:tcW w:w="1136" w:type="pct"/>
            <w:tcMar>
              <w:top w:w="100" w:type="dxa"/>
              <w:left w:w="100" w:type="dxa"/>
              <w:bottom w:w="100" w:type="dxa"/>
              <w:right w:w="100" w:type="dxa"/>
            </w:tcMar>
          </w:tcPr>
          <w:p w14:paraId="04562C8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Titus et al., 2019  </w:t>
            </w:r>
          </w:p>
        </w:tc>
        <w:tc>
          <w:tcPr>
            <w:tcW w:w="1446" w:type="pct"/>
            <w:tcMar>
              <w:top w:w="100" w:type="dxa"/>
              <w:left w:w="100" w:type="dxa"/>
              <w:bottom w:w="100" w:type="dxa"/>
              <w:right w:w="100" w:type="dxa"/>
            </w:tcMar>
          </w:tcPr>
          <w:p w14:paraId="78F69CA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576 firms, 2,054 observations</w:t>
            </w:r>
          </w:p>
        </w:tc>
        <w:tc>
          <w:tcPr>
            <w:tcW w:w="618" w:type="pct"/>
            <w:tcMar>
              <w:top w:w="100" w:type="dxa"/>
              <w:left w:w="100" w:type="dxa"/>
              <w:bottom w:w="100" w:type="dxa"/>
              <w:right w:w="100" w:type="dxa"/>
            </w:tcMar>
          </w:tcPr>
          <w:p w14:paraId="27E5285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1996-2007</w:t>
            </w:r>
          </w:p>
        </w:tc>
        <w:tc>
          <w:tcPr>
            <w:tcW w:w="1056" w:type="pct"/>
            <w:tcMar>
              <w:top w:w="100" w:type="dxa"/>
              <w:left w:w="100" w:type="dxa"/>
              <w:bottom w:w="100" w:type="dxa"/>
              <w:right w:w="100" w:type="dxa"/>
            </w:tcMar>
          </w:tcPr>
          <w:p w14:paraId="1D4A1BF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3F20156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08013697" w14:textId="77777777" w:rsidTr="0057655F">
        <w:trPr>
          <w:trHeight w:val="24"/>
        </w:trPr>
        <w:tc>
          <w:tcPr>
            <w:tcW w:w="1136" w:type="pct"/>
            <w:tcMar>
              <w:top w:w="100" w:type="dxa"/>
              <w:left w:w="100" w:type="dxa"/>
              <w:bottom w:w="100" w:type="dxa"/>
              <w:right w:w="100" w:type="dxa"/>
            </w:tcMar>
          </w:tcPr>
          <w:p w14:paraId="05D5828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Wang and Zhang, 2021 </w:t>
            </w:r>
          </w:p>
        </w:tc>
        <w:tc>
          <w:tcPr>
            <w:tcW w:w="1446" w:type="pct"/>
            <w:tcMar>
              <w:top w:w="100" w:type="dxa"/>
              <w:left w:w="100" w:type="dxa"/>
              <w:bottom w:w="100" w:type="dxa"/>
              <w:right w:w="100" w:type="dxa"/>
            </w:tcMar>
          </w:tcPr>
          <w:p w14:paraId="6AFDF61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487 observations</w:t>
            </w:r>
          </w:p>
        </w:tc>
        <w:tc>
          <w:tcPr>
            <w:tcW w:w="618" w:type="pct"/>
            <w:tcMar>
              <w:top w:w="100" w:type="dxa"/>
              <w:left w:w="100" w:type="dxa"/>
              <w:bottom w:w="100" w:type="dxa"/>
              <w:right w:w="100" w:type="dxa"/>
            </w:tcMar>
          </w:tcPr>
          <w:p w14:paraId="2BD7E51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2012-2016</w:t>
            </w:r>
          </w:p>
        </w:tc>
        <w:tc>
          <w:tcPr>
            <w:tcW w:w="1056" w:type="pct"/>
            <w:tcMar>
              <w:top w:w="100" w:type="dxa"/>
              <w:left w:w="100" w:type="dxa"/>
              <w:bottom w:w="100" w:type="dxa"/>
              <w:right w:w="100" w:type="dxa"/>
            </w:tcMar>
          </w:tcPr>
          <w:p w14:paraId="147D926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30675A5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0D05DCB6" w14:textId="77777777" w:rsidTr="0057655F">
        <w:trPr>
          <w:trHeight w:val="24"/>
        </w:trPr>
        <w:tc>
          <w:tcPr>
            <w:tcW w:w="1136" w:type="pct"/>
            <w:tcMar>
              <w:top w:w="100" w:type="dxa"/>
              <w:left w:w="100" w:type="dxa"/>
              <w:bottom w:w="100" w:type="dxa"/>
              <w:right w:w="100" w:type="dxa"/>
            </w:tcMar>
          </w:tcPr>
          <w:p w14:paraId="3197EBD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Wang et al., 2020 </w:t>
            </w:r>
          </w:p>
        </w:tc>
        <w:tc>
          <w:tcPr>
            <w:tcW w:w="1446" w:type="pct"/>
            <w:tcMar>
              <w:top w:w="100" w:type="dxa"/>
              <w:left w:w="100" w:type="dxa"/>
              <w:bottom w:w="100" w:type="dxa"/>
              <w:right w:w="100" w:type="dxa"/>
            </w:tcMar>
          </w:tcPr>
          <w:p w14:paraId="2C3E63C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1,380 firms, 12,327 observations</w:t>
            </w:r>
          </w:p>
        </w:tc>
        <w:tc>
          <w:tcPr>
            <w:tcW w:w="618" w:type="pct"/>
            <w:tcMar>
              <w:top w:w="100" w:type="dxa"/>
              <w:left w:w="100" w:type="dxa"/>
              <w:bottom w:w="100" w:type="dxa"/>
              <w:right w:w="100" w:type="dxa"/>
            </w:tcMar>
          </w:tcPr>
          <w:p w14:paraId="7087961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2001-2017</w:t>
            </w:r>
          </w:p>
        </w:tc>
        <w:tc>
          <w:tcPr>
            <w:tcW w:w="1056" w:type="pct"/>
            <w:tcMar>
              <w:top w:w="100" w:type="dxa"/>
              <w:left w:w="100" w:type="dxa"/>
              <w:bottom w:w="100" w:type="dxa"/>
              <w:right w:w="100" w:type="dxa"/>
            </w:tcMar>
          </w:tcPr>
          <w:p w14:paraId="1C971D9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6C58281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0B2522F6" w14:textId="77777777" w:rsidTr="0057655F">
        <w:trPr>
          <w:trHeight w:val="24"/>
        </w:trPr>
        <w:tc>
          <w:tcPr>
            <w:tcW w:w="1136" w:type="pct"/>
            <w:tcMar>
              <w:top w:w="100" w:type="dxa"/>
              <w:left w:w="100" w:type="dxa"/>
              <w:bottom w:w="100" w:type="dxa"/>
              <w:right w:w="100" w:type="dxa"/>
            </w:tcMar>
          </w:tcPr>
          <w:p w14:paraId="34F0DF00"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Wennberg</w:t>
            </w:r>
            <w:proofErr w:type="spellEnd"/>
            <w:r>
              <w:rPr>
                <w:rFonts w:ascii="Times New Roman" w:eastAsia="Times New Roman" w:hAnsi="Times New Roman" w:cs="Times New Roman"/>
              </w:rPr>
              <w:t xml:space="preserve"> and Holmquist, 2008  </w:t>
            </w:r>
          </w:p>
        </w:tc>
        <w:tc>
          <w:tcPr>
            <w:tcW w:w="1446" w:type="pct"/>
            <w:tcMar>
              <w:top w:w="100" w:type="dxa"/>
              <w:left w:w="100" w:type="dxa"/>
              <w:bottom w:w="100" w:type="dxa"/>
              <w:right w:w="100" w:type="dxa"/>
            </w:tcMar>
          </w:tcPr>
          <w:p w14:paraId="17A7D546"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2,355 observations</w:t>
            </w:r>
          </w:p>
        </w:tc>
        <w:tc>
          <w:tcPr>
            <w:tcW w:w="618" w:type="pct"/>
            <w:tcMar>
              <w:top w:w="100" w:type="dxa"/>
              <w:left w:w="100" w:type="dxa"/>
              <w:bottom w:w="100" w:type="dxa"/>
              <w:right w:w="100" w:type="dxa"/>
            </w:tcMar>
          </w:tcPr>
          <w:p w14:paraId="1CADA2D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1992-1995</w:t>
            </w:r>
          </w:p>
        </w:tc>
        <w:tc>
          <w:tcPr>
            <w:tcW w:w="1056" w:type="pct"/>
            <w:tcMar>
              <w:top w:w="100" w:type="dxa"/>
              <w:left w:w="100" w:type="dxa"/>
              <w:bottom w:w="100" w:type="dxa"/>
              <w:right w:w="100" w:type="dxa"/>
            </w:tcMar>
          </w:tcPr>
          <w:p w14:paraId="4C4CE5B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3D15DF52"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4082D666" w14:textId="77777777" w:rsidTr="0057655F">
        <w:trPr>
          <w:trHeight w:val="24"/>
        </w:trPr>
        <w:tc>
          <w:tcPr>
            <w:tcW w:w="1136" w:type="pct"/>
            <w:tcMar>
              <w:top w:w="100" w:type="dxa"/>
              <w:left w:w="100" w:type="dxa"/>
              <w:bottom w:w="100" w:type="dxa"/>
              <w:right w:w="100" w:type="dxa"/>
            </w:tcMar>
          </w:tcPr>
          <w:p w14:paraId="2ABAE680"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Wennberg</w:t>
            </w:r>
            <w:proofErr w:type="spellEnd"/>
            <w:r>
              <w:rPr>
                <w:rFonts w:ascii="Times New Roman" w:eastAsia="Times New Roman" w:hAnsi="Times New Roman" w:cs="Times New Roman"/>
              </w:rPr>
              <w:t xml:space="preserve"> et al., 2016 </w:t>
            </w:r>
          </w:p>
        </w:tc>
        <w:tc>
          <w:tcPr>
            <w:tcW w:w="1446" w:type="pct"/>
            <w:tcMar>
              <w:top w:w="100" w:type="dxa"/>
              <w:left w:w="100" w:type="dxa"/>
              <w:bottom w:w="100" w:type="dxa"/>
              <w:right w:w="100" w:type="dxa"/>
            </w:tcMar>
          </w:tcPr>
          <w:p w14:paraId="5F2979A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14,760 firms, 39,890 observations</w:t>
            </w:r>
          </w:p>
        </w:tc>
        <w:tc>
          <w:tcPr>
            <w:tcW w:w="618" w:type="pct"/>
            <w:tcMar>
              <w:top w:w="100" w:type="dxa"/>
              <w:left w:w="100" w:type="dxa"/>
              <w:bottom w:w="100" w:type="dxa"/>
              <w:right w:w="100" w:type="dxa"/>
            </w:tcMar>
          </w:tcPr>
          <w:p w14:paraId="552C6AC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1995-2002</w:t>
            </w:r>
          </w:p>
        </w:tc>
        <w:tc>
          <w:tcPr>
            <w:tcW w:w="1056" w:type="pct"/>
            <w:tcMar>
              <w:top w:w="100" w:type="dxa"/>
              <w:left w:w="100" w:type="dxa"/>
              <w:bottom w:w="100" w:type="dxa"/>
              <w:right w:w="100" w:type="dxa"/>
            </w:tcMar>
          </w:tcPr>
          <w:p w14:paraId="240A660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3DFA25A4"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33D50093" w14:textId="77777777" w:rsidTr="0057655F">
        <w:trPr>
          <w:trHeight w:val="24"/>
        </w:trPr>
        <w:tc>
          <w:tcPr>
            <w:tcW w:w="1136" w:type="pct"/>
            <w:tcMar>
              <w:top w:w="100" w:type="dxa"/>
              <w:left w:w="100" w:type="dxa"/>
              <w:bottom w:w="100" w:type="dxa"/>
              <w:right w:w="100" w:type="dxa"/>
            </w:tcMar>
          </w:tcPr>
          <w:p w14:paraId="7667EE61" w14:textId="77777777" w:rsidR="00750C42" w:rsidRDefault="00750C42" w:rsidP="0057655F">
            <w:pPr>
              <w:jc w:val="center"/>
              <w:rPr>
                <w:rFonts w:ascii="Times New Roman" w:eastAsia="Times New Roman" w:hAnsi="Times New Roman" w:cs="Times New Roman"/>
              </w:rPr>
            </w:pPr>
            <w:proofErr w:type="spellStart"/>
            <w:r>
              <w:rPr>
                <w:rFonts w:ascii="Times New Roman" w:eastAsia="Times New Roman" w:hAnsi="Times New Roman" w:cs="Times New Roman"/>
              </w:rPr>
              <w:t>Xie</w:t>
            </w:r>
            <w:proofErr w:type="spellEnd"/>
            <w:r>
              <w:rPr>
                <w:rFonts w:ascii="Times New Roman" w:eastAsia="Times New Roman" w:hAnsi="Times New Roman" w:cs="Times New Roman"/>
              </w:rPr>
              <w:t xml:space="preserve"> et al., 2019 </w:t>
            </w:r>
          </w:p>
        </w:tc>
        <w:tc>
          <w:tcPr>
            <w:tcW w:w="1446" w:type="pct"/>
            <w:tcMar>
              <w:top w:w="100" w:type="dxa"/>
              <w:left w:w="100" w:type="dxa"/>
              <w:bottom w:w="100" w:type="dxa"/>
              <w:right w:w="100" w:type="dxa"/>
            </w:tcMar>
          </w:tcPr>
          <w:p w14:paraId="0C30EB9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876 firms, 3,575 observations</w:t>
            </w:r>
          </w:p>
        </w:tc>
        <w:tc>
          <w:tcPr>
            <w:tcW w:w="618" w:type="pct"/>
            <w:tcMar>
              <w:top w:w="100" w:type="dxa"/>
              <w:left w:w="100" w:type="dxa"/>
              <w:bottom w:w="100" w:type="dxa"/>
              <w:right w:w="100" w:type="dxa"/>
            </w:tcMar>
          </w:tcPr>
          <w:p w14:paraId="4BCAA625"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2007-2013</w:t>
            </w:r>
          </w:p>
        </w:tc>
        <w:tc>
          <w:tcPr>
            <w:tcW w:w="1056" w:type="pct"/>
            <w:tcMar>
              <w:top w:w="100" w:type="dxa"/>
              <w:left w:w="100" w:type="dxa"/>
              <w:bottom w:w="100" w:type="dxa"/>
              <w:right w:w="100" w:type="dxa"/>
            </w:tcMar>
          </w:tcPr>
          <w:p w14:paraId="3854AC5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23634EDC"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04DCC983" w14:textId="77777777" w:rsidTr="0057655F">
        <w:trPr>
          <w:trHeight w:val="24"/>
        </w:trPr>
        <w:tc>
          <w:tcPr>
            <w:tcW w:w="1136" w:type="pct"/>
            <w:tcMar>
              <w:top w:w="100" w:type="dxa"/>
              <w:left w:w="100" w:type="dxa"/>
              <w:bottom w:w="100" w:type="dxa"/>
              <w:right w:w="100" w:type="dxa"/>
            </w:tcMar>
          </w:tcPr>
          <w:p w14:paraId="0D83D92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Xu and Zeng, 2020 </w:t>
            </w:r>
          </w:p>
        </w:tc>
        <w:tc>
          <w:tcPr>
            <w:tcW w:w="1446" w:type="pct"/>
            <w:tcMar>
              <w:top w:w="100" w:type="dxa"/>
              <w:left w:w="100" w:type="dxa"/>
              <w:bottom w:w="100" w:type="dxa"/>
              <w:right w:w="100" w:type="dxa"/>
            </w:tcMar>
          </w:tcPr>
          <w:p w14:paraId="162E672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311 firms, 1,416 observations</w:t>
            </w:r>
          </w:p>
        </w:tc>
        <w:tc>
          <w:tcPr>
            <w:tcW w:w="618" w:type="pct"/>
            <w:tcMar>
              <w:top w:w="100" w:type="dxa"/>
              <w:left w:w="100" w:type="dxa"/>
              <w:bottom w:w="100" w:type="dxa"/>
              <w:right w:w="100" w:type="dxa"/>
            </w:tcMar>
          </w:tcPr>
          <w:p w14:paraId="0D38805E"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2008-2013</w:t>
            </w:r>
          </w:p>
        </w:tc>
        <w:tc>
          <w:tcPr>
            <w:tcW w:w="1056" w:type="pct"/>
            <w:tcMar>
              <w:top w:w="100" w:type="dxa"/>
              <w:left w:w="100" w:type="dxa"/>
              <w:bottom w:w="100" w:type="dxa"/>
              <w:right w:w="100" w:type="dxa"/>
            </w:tcMar>
          </w:tcPr>
          <w:p w14:paraId="4BA13BE9"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03844878"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22D0CD0C" w14:textId="77777777" w:rsidTr="0057655F">
        <w:trPr>
          <w:trHeight w:val="24"/>
        </w:trPr>
        <w:tc>
          <w:tcPr>
            <w:tcW w:w="1136" w:type="pct"/>
            <w:tcMar>
              <w:top w:w="100" w:type="dxa"/>
              <w:left w:w="100" w:type="dxa"/>
              <w:bottom w:w="100" w:type="dxa"/>
              <w:right w:w="100" w:type="dxa"/>
            </w:tcMar>
          </w:tcPr>
          <w:p w14:paraId="252B569F"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Ye et al., 2021 </w:t>
            </w:r>
          </w:p>
        </w:tc>
        <w:tc>
          <w:tcPr>
            <w:tcW w:w="1446" w:type="pct"/>
            <w:tcMar>
              <w:top w:w="100" w:type="dxa"/>
              <w:left w:w="100" w:type="dxa"/>
              <w:bottom w:w="100" w:type="dxa"/>
              <w:right w:w="100" w:type="dxa"/>
            </w:tcMar>
          </w:tcPr>
          <w:p w14:paraId="0AA6D5C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56,716 observations</w:t>
            </w:r>
          </w:p>
        </w:tc>
        <w:tc>
          <w:tcPr>
            <w:tcW w:w="618" w:type="pct"/>
            <w:tcMar>
              <w:top w:w="100" w:type="dxa"/>
              <w:left w:w="100" w:type="dxa"/>
              <w:bottom w:w="100" w:type="dxa"/>
              <w:right w:w="100" w:type="dxa"/>
            </w:tcMar>
          </w:tcPr>
          <w:p w14:paraId="3D64CA40"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1974-2018</w:t>
            </w:r>
          </w:p>
        </w:tc>
        <w:tc>
          <w:tcPr>
            <w:tcW w:w="1056" w:type="pct"/>
            <w:tcMar>
              <w:top w:w="100" w:type="dxa"/>
              <w:left w:w="100" w:type="dxa"/>
              <w:bottom w:w="100" w:type="dxa"/>
              <w:right w:w="100" w:type="dxa"/>
            </w:tcMar>
          </w:tcPr>
          <w:p w14:paraId="5EAFDC9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1BAEFA9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r w:rsidR="00750C42" w14:paraId="16CEEE37" w14:textId="77777777" w:rsidTr="0057655F">
        <w:trPr>
          <w:trHeight w:val="24"/>
        </w:trPr>
        <w:tc>
          <w:tcPr>
            <w:tcW w:w="1136" w:type="pct"/>
            <w:tcMar>
              <w:top w:w="100" w:type="dxa"/>
              <w:left w:w="100" w:type="dxa"/>
              <w:bottom w:w="100" w:type="dxa"/>
              <w:right w:w="100" w:type="dxa"/>
            </w:tcMar>
          </w:tcPr>
          <w:p w14:paraId="3F571CCD"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 xml:space="preserve">Zhong et al., 2021 </w:t>
            </w:r>
          </w:p>
        </w:tc>
        <w:tc>
          <w:tcPr>
            <w:tcW w:w="1446" w:type="pct"/>
            <w:tcMar>
              <w:top w:w="100" w:type="dxa"/>
              <w:left w:w="100" w:type="dxa"/>
              <w:bottom w:w="100" w:type="dxa"/>
              <w:right w:w="100" w:type="dxa"/>
            </w:tcMar>
          </w:tcPr>
          <w:p w14:paraId="0BF8BD5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809 firms, 4,386 observations</w:t>
            </w:r>
          </w:p>
        </w:tc>
        <w:tc>
          <w:tcPr>
            <w:tcW w:w="618" w:type="pct"/>
            <w:tcMar>
              <w:top w:w="100" w:type="dxa"/>
              <w:left w:w="100" w:type="dxa"/>
              <w:bottom w:w="100" w:type="dxa"/>
              <w:right w:w="100" w:type="dxa"/>
            </w:tcMar>
          </w:tcPr>
          <w:p w14:paraId="6084766A"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2010-2018</w:t>
            </w:r>
          </w:p>
        </w:tc>
        <w:tc>
          <w:tcPr>
            <w:tcW w:w="1056" w:type="pct"/>
            <w:tcMar>
              <w:top w:w="100" w:type="dxa"/>
              <w:left w:w="100" w:type="dxa"/>
              <w:bottom w:w="100" w:type="dxa"/>
              <w:right w:w="100" w:type="dxa"/>
            </w:tcMar>
          </w:tcPr>
          <w:p w14:paraId="54BFA91B"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Industry</w:t>
            </w:r>
          </w:p>
        </w:tc>
        <w:tc>
          <w:tcPr>
            <w:tcW w:w="744" w:type="pct"/>
          </w:tcPr>
          <w:p w14:paraId="57C76087" w14:textId="77777777" w:rsidR="00750C42" w:rsidRDefault="00750C42" w:rsidP="0057655F">
            <w:pPr>
              <w:jc w:val="center"/>
              <w:rPr>
                <w:rFonts w:ascii="Times New Roman" w:eastAsia="Times New Roman" w:hAnsi="Times New Roman" w:cs="Times New Roman"/>
              </w:rPr>
            </w:pPr>
            <w:r>
              <w:rPr>
                <w:rFonts w:ascii="Times New Roman" w:eastAsia="Times New Roman" w:hAnsi="Times New Roman" w:cs="Times New Roman"/>
              </w:rPr>
              <w:t>Baseline</w:t>
            </w:r>
          </w:p>
        </w:tc>
      </w:tr>
    </w:tbl>
    <w:p w14:paraId="6B58ADF4" w14:textId="77777777" w:rsidR="00EC7E61" w:rsidRDefault="00EC7E61">
      <w:pPr>
        <w:spacing w:line="240" w:lineRule="auto"/>
        <w:rPr>
          <w:rFonts w:ascii="Times New Roman" w:eastAsia="Times New Roman" w:hAnsi="Times New Roman" w:cs="Times New Roman"/>
        </w:rPr>
      </w:pPr>
      <w:r>
        <w:rPr>
          <w:rFonts w:ascii="Times New Roman" w:eastAsia="Times New Roman" w:hAnsi="Times New Roman" w:cs="Times New Roman"/>
        </w:rPr>
        <w:br w:type="page"/>
      </w:r>
    </w:p>
    <w:p w14:paraId="4046B1F8" w14:textId="77777777" w:rsidR="00750C42" w:rsidRPr="00646D4E" w:rsidRDefault="00750C42" w:rsidP="0057655F">
      <w:pPr>
        <w:spacing w:line="240" w:lineRule="auto"/>
        <w:jc w:val="center"/>
        <w:rPr>
          <w:rFonts w:ascii="Times New Roman" w:eastAsia="Times New Roman" w:hAnsi="Times New Roman" w:cs="Times New Roman"/>
          <w:b/>
          <w:sz w:val="24"/>
          <w:szCs w:val="24"/>
        </w:rPr>
      </w:pPr>
      <w:r w:rsidRPr="00646D4E">
        <w:rPr>
          <w:rFonts w:ascii="Times New Roman" w:eastAsia="Times New Roman" w:hAnsi="Times New Roman" w:cs="Times New Roman"/>
          <w:b/>
          <w:sz w:val="24"/>
          <w:szCs w:val="24"/>
        </w:rPr>
        <w:lastRenderedPageBreak/>
        <w:t>APPENDIX A2.</w:t>
      </w:r>
    </w:p>
    <w:p w14:paraId="7326495D" w14:textId="77777777" w:rsidR="00750C42" w:rsidRDefault="00750C42" w:rsidP="0057655F">
      <w:pPr>
        <w:spacing w:line="240" w:lineRule="auto"/>
        <w:jc w:val="center"/>
        <w:rPr>
          <w:rFonts w:ascii="Times New Roman" w:eastAsia="Times New Roman" w:hAnsi="Times New Roman" w:cs="Times New Roman"/>
          <w:b/>
          <w:sz w:val="24"/>
          <w:szCs w:val="24"/>
        </w:rPr>
      </w:pPr>
      <w:r w:rsidRPr="00646D4E">
        <w:rPr>
          <w:rFonts w:ascii="Times New Roman" w:eastAsia="Times New Roman" w:hAnsi="Times New Roman" w:cs="Times New Roman"/>
          <w:b/>
          <w:sz w:val="24"/>
          <w:szCs w:val="24"/>
        </w:rPr>
        <w:t>Coding Scheme for Motives</w:t>
      </w:r>
    </w:p>
    <w:p w14:paraId="1ED95F8F" w14:textId="77777777" w:rsidR="00750C42" w:rsidRPr="00646D4E" w:rsidRDefault="00750C42" w:rsidP="0057655F">
      <w:pPr>
        <w:spacing w:line="240" w:lineRule="auto"/>
        <w:jc w:val="center"/>
        <w:rPr>
          <w:rFonts w:ascii="Times New Roman" w:eastAsia="Times New Roman" w:hAnsi="Times New Roman" w:cs="Times New Roman"/>
          <w:b/>
          <w:sz w:val="24"/>
          <w:szCs w:val="24"/>
        </w:rPr>
      </w:pPr>
    </w:p>
    <w:tbl>
      <w:tblPr>
        <w:tblW w:w="0" w:type="auto"/>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
      <w:tblGrid>
        <w:gridCol w:w="1565"/>
        <w:gridCol w:w="1594"/>
        <w:gridCol w:w="4591"/>
        <w:gridCol w:w="1590"/>
      </w:tblGrid>
      <w:tr w:rsidR="00750C42" w:rsidRPr="00646D4E" w14:paraId="03EF275C" w14:textId="77777777" w:rsidTr="0057655F">
        <w:trPr>
          <w:jc w:val="center"/>
        </w:trPr>
        <w:tc>
          <w:tcPr>
            <w:tcW w:w="0" w:type="auto"/>
            <w:shd w:val="clear" w:color="auto" w:fill="auto"/>
            <w:tcMar>
              <w:top w:w="100" w:type="dxa"/>
              <w:left w:w="100" w:type="dxa"/>
              <w:bottom w:w="100" w:type="dxa"/>
              <w:right w:w="100" w:type="dxa"/>
            </w:tcMar>
          </w:tcPr>
          <w:p w14:paraId="1433C4A6" w14:textId="77777777" w:rsidR="00750C42" w:rsidRPr="00646D4E" w:rsidRDefault="00750C42" w:rsidP="0057655F">
            <w:pPr>
              <w:widowControl w:val="0"/>
              <w:pBdr>
                <w:top w:val="nil"/>
                <w:left w:val="nil"/>
                <w:bottom w:val="nil"/>
                <w:right w:val="nil"/>
                <w:between w:val="nil"/>
              </w:pBdr>
              <w:spacing w:line="240" w:lineRule="auto"/>
              <w:rPr>
                <w:rFonts w:ascii="Times New Roman" w:eastAsia="Times New Roman" w:hAnsi="Times New Roman" w:cs="Times New Roman"/>
                <w:b/>
                <w:sz w:val="24"/>
                <w:szCs w:val="24"/>
              </w:rPr>
            </w:pPr>
            <w:r w:rsidRPr="00646D4E">
              <w:rPr>
                <w:rFonts w:ascii="Times New Roman" w:eastAsia="Times New Roman" w:hAnsi="Times New Roman" w:cs="Times New Roman"/>
                <w:b/>
                <w:sz w:val="24"/>
                <w:szCs w:val="24"/>
              </w:rPr>
              <w:t>Coding label of motive</w:t>
            </w:r>
          </w:p>
        </w:tc>
        <w:tc>
          <w:tcPr>
            <w:tcW w:w="0" w:type="auto"/>
            <w:shd w:val="clear" w:color="auto" w:fill="auto"/>
            <w:tcMar>
              <w:top w:w="100" w:type="dxa"/>
              <w:left w:w="100" w:type="dxa"/>
              <w:bottom w:w="100" w:type="dxa"/>
              <w:right w:w="100" w:type="dxa"/>
            </w:tcMar>
          </w:tcPr>
          <w:p w14:paraId="210BC3A9" w14:textId="77777777" w:rsidR="00750C42" w:rsidRPr="00646D4E" w:rsidRDefault="00750C42" w:rsidP="0057655F">
            <w:pPr>
              <w:widowControl w:val="0"/>
              <w:pBdr>
                <w:top w:val="nil"/>
                <w:left w:val="nil"/>
                <w:bottom w:val="nil"/>
                <w:right w:val="nil"/>
                <w:between w:val="nil"/>
              </w:pBdr>
              <w:spacing w:line="240" w:lineRule="auto"/>
              <w:rPr>
                <w:rFonts w:ascii="Times New Roman" w:eastAsia="Times New Roman" w:hAnsi="Times New Roman" w:cs="Times New Roman"/>
                <w:b/>
                <w:sz w:val="24"/>
                <w:szCs w:val="24"/>
              </w:rPr>
            </w:pPr>
            <w:r w:rsidRPr="00646D4E">
              <w:rPr>
                <w:rFonts w:ascii="Times New Roman" w:eastAsia="Times New Roman" w:hAnsi="Times New Roman" w:cs="Times New Roman"/>
                <w:b/>
                <w:sz w:val="24"/>
                <w:szCs w:val="24"/>
              </w:rPr>
              <w:t>Definition</w:t>
            </w:r>
          </w:p>
        </w:tc>
        <w:tc>
          <w:tcPr>
            <w:tcW w:w="0" w:type="auto"/>
            <w:shd w:val="clear" w:color="auto" w:fill="auto"/>
            <w:tcMar>
              <w:top w:w="100" w:type="dxa"/>
              <w:left w:w="100" w:type="dxa"/>
              <w:bottom w:w="100" w:type="dxa"/>
              <w:right w:w="100" w:type="dxa"/>
            </w:tcMar>
          </w:tcPr>
          <w:p w14:paraId="5B5DFC71" w14:textId="77777777" w:rsidR="00750C42" w:rsidRPr="00646D4E" w:rsidRDefault="00750C42" w:rsidP="0057655F">
            <w:pPr>
              <w:widowControl w:val="0"/>
              <w:pBdr>
                <w:top w:val="nil"/>
                <w:left w:val="nil"/>
                <w:bottom w:val="nil"/>
                <w:right w:val="nil"/>
                <w:between w:val="nil"/>
              </w:pBdr>
              <w:spacing w:line="240" w:lineRule="auto"/>
              <w:rPr>
                <w:rFonts w:ascii="Times New Roman" w:eastAsia="Times New Roman" w:hAnsi="Times New Roman" w:cs="Times New Roman"/>
                <w:b/>
                <w:sz w:val="24"/>
                <w:szCs w:val="24"/>
              </w:rPr>
            </w:pPr>
            <w:r w:rsidRPr="00646D4E">
              <w:rPr>
                <w:rFonts w:ascii="Times New Roman" w:eastAsia="Times New Roman" w:hAnsi="Times New Roman" w:cs="Times New Roman"/>
                <w:b/>
                <w:sz w:val="24"/>
                <w:szCs w:val="24"/>
              </w:rPr>
              <w:t>Example operationalizations</w:t>
            </w:r>
          </w:p>
        </w:tc>
        <w:tc>
          <w:tcPr>
            <w:tcW w:w="0" w:type="auto"/>
          </w:tcPr>
          <w:p w14:paraId="3FAA50EB" w14:textId="77777777" w:rsidR="00750C42" w:rsidRPr="00646D4E" w:rsidRDefault="00750C42" w:rsidP="0057655F">
            <w:pPr>
              <w:widowControl w:val="0"/>
              <w:pBdr>
                <w:top w:val="nil"/>
                <w:left w:val="nil"/>
                <w:bottom w:val="nil"/>
                <w:right w:val="nil"/>
                <w:between w:val="nil"/>
              </w:pBd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Distribution in our sample</w:t>
            </w:r>
          </w:p>
        </w:tc>
      </w:tr>
      <w:tr w:rsidR="00750C42" w:rsidRPr="00646D4E" w14:paraId="1796CA54" w14:textId="77777777" w:rsidTr="0057655F">
        <w:trPr>
          <w:jc w:val="center"/>
        </w:trPr>
        <w:tc>
          <w:tcPr>
            <w:tcW w:w="0" w:type="auto"/>
            <w:shd w:val="clear" w:color="auto" w:fill="auto"/>
            <w:tcMar>
              <w:top w:w="100" w:type="dxa"/>
              <w:left w:w="100" w:type="dxa"/>
              <w:bottom w:w="100" w:type="dxa"/>
              <w:right w:w="100" w:type="dxa"/>
            </w:tcMar>
          </w:tcPr>
          <w:p w14:paraId="08C59BB0" w14:textId="77777777" w:rsidR="00750C42" w:rsidRPr="00646D4E" w:rsidRDefault="00750C42" w:rsidP="0057655F">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sidRPr="00646D4E">
              <w:rPr>
                <w:rFonts w:ascii="Times New Roman" w:eastAsia="Times New Roman" w:hAnsi="Times New Roman" w:cs="Times New Roman"/>
                <w:sz w:val="24"/>
                <w:szCs w:val="24"/>
              </w:rPr>
              <w:t>Baseline</w:t>
            </w:r>
          </w:p>
        </w:tc>
        <w:tc>
          <w:tcPr>
            <w:tcW w:w="0" w:type="auto"/>
            <w:shd w:val="clear" w:color="auto" w:fill="auto"/>
            <w:tcMar>
              <w:top w:w="100" w:type="dxa"/>
              <w:left w:w="100" w:type="dxa"/>
              <w:bottom w:w="100" w:type="dxa"/>
              <w:right w:w="100" w:type="dxa"/>
            </w:tcMar>
          </w:tcPr>
          <w:p w14:paraId="1FF2694F" w14:textId="77777777" w:rsidR="00750C42" w:rsidRPr="00646D4E" w:rsidRDefault="00750C42" w:rsidP="0057655F">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sidRPr="00646D4E">
              <w:rPr>
                <w:rFonts w:ascii="Times New Roman" w:eastAsia="Times New Roman" w:hAnsi="Times New Roman" w:cs="Times New Roman"/>
                <w:sz w:val="24"/>
                <w:szCs w:val="24"/>
              </w:rPr>
              <w:t xml:space="preserve">Social aspiration based on </w:t>
            </w:r>
            <w:r>
              <w:rPr>
                <w:rFonts w:ascii="Times New Roman" w:eastAsia="Times New Roman" w:hAnsi="Times New Roman" w:cs="Times New Roman"/>
                <w:sz w:val="24"/>
                <w:szCs w:val="24"/>
              </w:rPr>
              <w:t xml:space="preserve">overall </w:t>
            </w:r>
            <w:r w:rsidRPr="00646D4E">
              <w:rPr>
                <w:rFonts w:ascii="Times New Roman" w:eastAsia="Times New Roman" w:hAnsi="Times New Roman" w:cs="Times New Roman"/>
                <w:sz w:val="24"/>
                <w:szCs w:val="24"/>
              </w:rPr>
              <w:t>industry average</w:t>
            </w:r>
          </w:p>
        </w:tc>
        <w:tc>
          <w:tcPr>
            <w:tcW w:w="0" w:type="auto"/>
            <w:shd w:val="clear" w:color="auto" w:fill="auto"/>
            <w:tcMar>
              <w:top w:w="100" w:type="dxa"/>
              <w:left w:w="100" w:type="dxa"/>
              <w:bottom w:w="100" w:type="dxa"/>
              <w:right w:w="100" w:type="dxa"/>
            </w:tcMar>
          </w:tcPr>
          <w:p w14:paraId="31BEC248" w14:textId="77777777" w:rsidR="00750C42" w:rsidRPr="00646D4E" w:rsidRDefault="00750C42" w:rsidP="0057655F">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sidRPr="00646D4E">
              <w:rPr>
                <w:rFonts w:ascii="Times New Roman" w:eastAsia="Times New Roman" w:hAnsi="Times New Roman" w:cs="Times New Roman"/>
                <w:sz w:val="24"/>
                <w:szCs w:val="24"/>
              </w:rPr>
              <w:t>Industry mean performance (Shimizu, 2007), industry median performance (Lim and McCann, 2014)</w:t>
            </w:r>
          </w:p>
        </w:tc>
        <w:tc>
          <w:tcPr>
            <w:tcW w:w="0" w:type="auto"/>
          </w:tcPr>
          <w:p w14:paraId="7E30220A" w14:textId="77777777" w:rsidR="00750C42" w:rsidRPr="00646D4E" w:rsidRDefault="00750C42" w:rsidP="0057655F">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74%</w:t>
            </w:r>
          </w:p>
        </w:tc>
      </w:tr>
      <w:tr w:rsidR="00750C42" w:rsidRPr="00646D4E" w14:paraId="56C0AE7D" w14:textId="77777777" w:rsidTr="0057655F">
        <w:trPr>
          <w:jc w:val="center"/>
        </w:trPr>
        <w:tc>
          <w:tcPr>
            <w:tcW w:w="0" w:type="auto"/>
            <w:shd w:val="clear" w:color="auto" w:fill="auto"/>
            <w:tcMar>
              <w:top w:w="100" w:type="dxa"/>
              <w:left w:w="100" w:type="dxa"/>
              <w:bottom w:w="100" w:type="dxa"/>
              <w:right w:w="100" w:type="dxa"/>
            </w:tcMar>
          </w:tcPr>
          <w:p w14:paraId="0EDCB330" w14:textId="77777777" w:rsidR="00750C42" w:rsidRPr="00646D4E" w:rsidRDefault="00750C42" w:rsidP="0057655F">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sidRPr="00646D4E">
              <w:rPr>
                <w:rFonts w:ascii="Times New Roman" w:eastAsia="Times New Roman" w:hAnsi="Times New Roman" w:cs="Times New Roman"/>
                <w:sz w:val="24"/>
                <w:szCs w:val="24"/>
              </w:rPr>
              <w:t>Self-assessment</w:t>
            </w:r>
          </w:p>
        </w:tc>
        <w:tc>
          <w:tcPr>
            <w:tcW w:w="0" w:type="auto"/>
            <w:shd w:val="clear" w:color="auto" w:fill="auto"/>
            <w:tcMar>
              <w:top w:w="100" w:type="dxa"/>
              <w:left w:w="100" w:type="dxa"/>
              <w:bottom w:w="100" w:type="dxa"/>
              <w:right w:w="100" w:type="dxa"/>
            </w:tcMar>
          </w:tcPr>
          <w:p w14:paraId="43D2F488" w14:textId="77777777" w:rsidR="00750C42" w:rsidRPr="00646D4E" w:rsidRDefault="00750C42" w:rsidP="0057655F">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sidRPr="00646D4E">
              <w:rPr>
                <w:rFonts w:ascii="Times New Roman" w:eastAsia="Times New Roman" w:hAnsi="Times New Roman" w:cs="Times New Roman"/>
                <w:sz w:val="24"/>
                <w:szCs w:val="24"/>
              </w:rPr>
              <w:t>Social aspiration based on a subgroup of industry</w:t>
            </w:r>
          </w:p>
        </w:tc>
        <w:tc>
          <w:tcPr>
            <w:tcW w:w="0" w:type="auto"/>
            <w:shd w:val="clear" w:color="auto" w:fill="auto"/>
            <w:tcMar>
              <w:top w:w="100" w:type="dxa"/>
              <w:left w:w="100" w:type="dxa"/>
              <w:bottom w:w="100" w:type="dxa"/>
              <w:right w:w="100" w:type="dxa"/>
            </w:tcMar>
          </w:tcPr>
          <w:p w14:paraId="0EFBD2CF" w14:textId="77777777" w:rsidR="00750C42" w:rsidRPr="00646D4E" w:rsidRDefault="00750C42" w:rsidP="0057655F">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sidRPr="00646D4E">
              <w:rPr>
                <w:rFonts w:ascii="Times New Roman" w:eastAsia="Times New Roman" w:hAnsi="Times New Roman" w:cs="Times New Roman"/>
                <w:sz w:val="24"/>
                <w:szCs w:val="24"/>
              </w:rPr>
              <w:t>Mean performance of reference groups by size (Baum et al., 2005), mean performance of hospitals within the same state (Desai, 2015), performance of other funds within the same fund category (</w:t>
            </w:r>
            <w:proofErr w:type="spellStart"/>
            <w:r w:rsidRPr="00646D4E">
              <w:rPr>
                <w:rFonts w:ascii="Times New Roman" w:eastAsia="Times New Roman" w:hAnsi="Times New Roman" w:cs="Times New Roman"/>
                <w:sz w:val="24"/>
                <w:szCs w:val="24"/>
              </w:rPr>
              <w:t>Kacperczyk</w:t>
            </w:r>
            <w:proofErr w:type="spellEnd"/>
            <w:r w:rsidRPr="00646D4E">
              <w:rPr>
                <w:rFonts w:ascii="Times New Roman" w:eastAsia="Times New Roman" w:hAnsi="Times New Roman" w:cs="Times New Roman"/>
                <w:sz w:val="24"/>
                <w:szCs w:val="24"/>
              </w:rPr>
              <w:t xml:space="preserve"> et al., 2015), dyads that are strategically similar (Park, 2007), strategic reference groups based on service quality goals (</w:t>
            </w:r>
            <w:proofErr w:type="spellStart"/>
            <w:r w:rsidRPr="00646D4E">
              <w:rPr>
                <w:rFonts w:ascii="Times New Roman" w:eastAsia="Times New Roman" w:hAnsi="Times New Roman" w:cs="Times New Roman"/>
                <w:sz w:val="24"/>
                <w:szCs w:val="24"/>
              </w:rPr>
              <w:t>Salge</w:t>
            </w:r>
            <w:proofErr w:type="spellEnd"/>
            <w:r w:rsidRPr="00646D4E">
              <w:rPr>
                <w:rFonts w:ascii="Times New Roman" w:eastAsia="Times New Roman" w:hAnsi="Times New Roman" w:cs="Times New Roman"/>
                <w:sz w:val="24"/>
                <w:szCs w:val="24"/>
              </w:rPr>
              <w:t>, 2010)</w:t>
            </w:r>
          </w:p>
        </w:tc>
        <w:tc>
          <w:tcPr>
            <w:tcW w:w="0" w:type="auto"/>
          </w:tcPr>
          <w:p w14:paraId="6DD31B06" w14:textId="77777777" w:rsidR="00750C42" w:rsidRPr="00646D4E" w:rsidRDefault="00750C42" w:rsidP="0057655F">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21%</w:t>
            </w:r>
          </w:p>
        </w:tc>
      </w:tr>
      <w:tr w:rsidR="00750C42" w:rsidRPr="00646D4E" w14:paraId="5F74A4B5" w14:textId="77777777" w:rsidTr="0057655F">
        <w:trPr>
          <w:jc w:val="center"/>
        </w:trPr>
        <w:tc>
          <w:tcPr>
            <w:tcW w:w="0" w:type="auto"/>
            <w:shd w:val="clear" w:color="auto" w:fill="auto"/>
            <w:tcMar>
              <w:top w:w="100" w:type="dxa"/>
              <w:left w:w="100" w:type="dxa"/>
              <w:bottom w:w="100" w:type="dxa"/>
              <w:right w:w="100" w:type="dxa"/>
            </w:tcMar>
          </w:tcPr>
          <w:p w14:paraId="38F2CE3F" w14:textId="77777777" w:rsidR="00750C42" w:rsidRPr="00646D4E" w:rsidRDefault="00750C42" w:rsidP="0057655F">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sidRPr="00646D4E">
              <w:rPr>
                <w:rFonts w:ascii="Times New Roman" w:eastAsia="Times New Roman" w:hAnsi="Times New Roman" w:cs="Times New Roman"/>
                <w:sz w:val="24"/>
                <w:szCs w:val="24"/>
              </w:rPr>
              <w:t>Self-improvement</w:t>
            </w:r>
          </w:p>
        </w:tc>
        <w:tc>
          <w:tcPr>
            <w:tcW w:w="0" w:type="auto"/>
            <w:shd w:val="clear" w:color="auto" w:fill="auto"/>
            <w:tcMar>
              <w:top w:w="100" w:type="dxa"/>
              <w:left w:w="100" w:type="dxa"/>
              <w:bottom w:w="100" w:type="dxa"/>
              <w:right w:w="100" w:type="dxa"/>
            </w:tcMar>
          </w:tcPr>
          <w:p w14:paraId="55DF22BF" w14:textId="77777777" w:rsidR="00750C42" w:rsidRPr="00646D4E" w:rsidRDefault="00750C42" w:rsidP="0057655F">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sidRPr="00646D4E">
              <w:rPr>
                <w:rFonts w:ascii="Times New Roman" w:eastAsia="Times New Roman" w:hAnsi="Times New Roman" w:cs="Times New Roman"/>
                <w:sz w:val="24"/>
                <w:szCs w:val="24"/>
              </w:rPr>
              <w:t>Social aspiration based on top performing firms</w:t>
            </w:r>
          </w:p>
        </w:tc>
        <w:tc>
          <w:tcPr>
            <w:tcW w:w="0" w:type="auto"/>
            <w:shd w:val="clear" w:color="auto" w:fill="auto"/>
            <w:tcMar>
              <w:top w:w="100" w:type="dxa"/>
              <w:left w:w="100" w:type="dxa"/>
              <w:bottom w:w="100" w:type="dxa"/>
              <w:right w:w="100" w:type="dxa"/>
            </w:tcMar>
          </w:tcPr>
          <w:p w14:paraId="6C44EDBF" w14:textId="77777777" w:rsidR="00750C42" w:rsidRPr="00646D4E" w:rsidRDefault="00750C42" w:rsidP="0057655F">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sidRPr="00646D4E">
              <w:rPr>
                <w:rFonts w:ascii="Times New Roman" w:eastAsia="Times New Roman" w:hAnsi="Times New Roman" w:cs="Times New Roman"/>
                <w:sz w:val="24"/>
                <w:szCs w:val="24"/>
              </w:rPr>
              <w:t>Performance of highest ranked contestant or leader (Boyle and Shapira, 2012), highest performing team within the soccer league (</w:t>
            </w:r>
            <w:proofErr w:type="spellStart"/>
            <w:r w:rsidRPr="00646D4E">
              <w:rPr>
                <w:rFonts w:ascii="Times New Roman" w:eastAsia="Times New Roman" w:hAnsi="Times New Roman" w:cs="Times New Roman"/>
                <w:sz w:val="24"/>
                <w:szCs w:val="24"/>
              </w:rPr>
              <w:t>Moliterno</w:t>
            </w:r>
            <w:proofErr w:type="spellEnd"/>
            <w:r w:rsidRPr="00646D4E">
              <w:rPr>
                <w:rFonts w:ascii="Times New Roman" w:eastAsia="Times New Roman" w:hAnsi="Times New Roman" w:cs="Times New Roman"/>
                <w:sz w:val="24"/>
                <w:szCs w:val="24"/>
              </w:rPr>
              <w:t xml:space="preserve"> et al., 2014), top three competitors of the focal school (</w:t>
            </w:r>
            <w:proofErr w:type="spellStart"/>
            <w:r w:rsidRPr="00646D4E">
              <w:rPr>
                <w:rFonts w:ascii="Times New Roman" w:eastAsia="Times New Roman" w:hAnsi="Times New Roman" w:cs="Times New Roman"/>
                <w:sz w:val="24"/>
                <w:szCs w:val="24"/>
              </w:rPr>
              <w:t>Labianca</w:t>
            </w:r>
            <w:proofErr w:type="spellEnd"/>
            <w:r w:rsidRPr="00646D4E">
              <w:rPr>
                <w:rFonts w:ascii="Times New Roman" w:eastAsia="Times New Roman" w:hAnsi="Times New Roman" w:cs="Times New Roman"/>
                <w:sz w:val="24"/>
                <w:szCs w:val="24"/>
              </w:rPr>
              <w:t xml:space="preserve"> et al., 2009)</w:t>
            </w:r>
          </w:p>
        </w:tc>
        <w:tc>
          <w:tcPr>
            <w:tcW w:w="0" w:type="auto"/>
          </w:tcPr>
          <w:p w14:paraId="2B61BBF6" w14:textId="77777777" w:rsidR="00750C42" w:rsidRPr="00646D4E" w:rsidRDefault="00750C42" w:rsidP="0057655F">
            <w:pPr>
              <w:widowControl w:val="0"/>
              <w:pBdr>
                <w:top w:val="nil"/>
                <w:left w:val="nil"/>
                <w:bottom w:val="nil"/>
                <w:right w:val="nil"/>
                <w:between w:val="nil"/>
              </w:pBd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r>
    </w:tbl>
    <w:p w14:paraId="18DF9384" w14:textId="66650BEA" w:rsidR="00EC7E61" w:rsidRDefault="00750C42">
      <w:pPr>
        <w:spacing w:line="480" w:lineRule="auto"/>
        <w:jc w:val="both"/>
        <w:rPr>
          <w:rFonts w:ascii="Times New Roman" w:eastAsia="Times New Roman" w:hAnsi="Times New Roman" w:cs="Times New Roman"/>
          <w:bCs/>
          <w:sz w:val="24"/>
          <w:szCs w:val="24"/>
        </w:rPr>
      </w:pPr>
      <w:r w:rsidRPr="00B66FAF">
        <w:rPr>
          <w:rFonts w:ascii="Times New Roman" w:eastAsia="Times New Roman" w:hAnsi="Times New Roman" w:cs="Times New Roman"/>
          <w:bCs/>
          <w:sz w:val="24"/>
          <w:szCs w:val="24"/>
        </w:rPr>
        <w:t>N = 99 studies</w:t>
      </w:r>
    </w:p>
    <w:p w14:paraId="542AE7AC" w14:textId="4FE360B6" w:rsidR="00750C42" w:rsidRPr="00EC7E61" w:rsidRDefault="00EC7E61" w:rsidP="00EC7E61">
      <w:pPr>
        <w:spacing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br w:type="page"/>
      </w:r>
    </w:p>
    <w:p w14:paraId="51FE7F96" w14:textId="20585290" w:rsidR="00750C42" w:rsidRDefault="00750C42" w:rsidP="009C6479">
      <w:pPr>
        <w:tabs>
          <w:tab w:val="left" w:pos="3399"/>
        </w:tabs>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APPENDIX A3.</w:t>
      </w:r>
    </w:p>
    <w:p w14:paraId="2B7185F2" w14:textId="77777777" w:rsidR="00750C42" w:rsidRDefault="00750C42">
      <w:pPr>
        <w:spacing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Fail-Safe N Results (Rosenthal, 1995)</w:t>
      </w:r>
    </w:p>
    <w:p w14:paraId="3D2C5055" w14:textId="77777777" w:rsidR="00750C42" w:rsidRDefault="00750C42">
      <w:pPr>
        <w:spacing w:line="240" w:lineRule="auto"/>
        <w:jc w:val="center"/>
        <w:rPr>
          <w:rFonts w:ascii="Times New Roman" w:eastAsia="Times New Roman" w:hAnsi="Times New Roman" w:cs="Times New Roman"/>
          <w:b/>
          <w:sz w:val="24"/>
          <w:szCs w:val="24"/>
        </w:rPr>
      </w:pPr>
    </w:p>
    <w:tbl>
      <w:tblPr>
        <w:tblW w:w="93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2387"/>
        <w:gridCol w:w="2583"/>
        <w:gridCol w:w="826"/>
        <w:gridCol w:w="1171"/>
        <w:gridCol w:w="1082"/>
        <w:gridCol w:w="1291"/>
      </w:tblGrid>
      <w:tr w:rsidR="00750C42" w14:paraId="53669375" w14:textId="77777777">
        <w:trPr>
          <w:trHeight w:val="1020"/>
        </w:trPr>
        <w:tc>
          <w:tcPr>
            <w:tcW w:w="238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6812A84A" w14:textId="77777777" w:rsidR="00750C42" w:rsidRDefault="00750C42">
            <w:pPr>
              <w:spacing w:line="240" w:lineRule="auto"/>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Criteria</w:t>
            </w:r>
          </w:p>
        </w:tc>
        <w:tc>
          <w:tcPr>
            <w:tcW w:w="2583"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2ECF0FCD" w14:textId="77777777" w:rsidR="00750C42" w:rsidRDefault="00750C42">
            <w:pPr>
              <w:spacing w:line="240" w:lineRule="auto"/>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Construction of Social Aspiration and Motivation</w:t>
            </w:r>
          </w:p>
        </w:tc>
        <w:tc>
          <w:tcPr>
            <w:tcW w:w="826"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589DFB0C" w14:textId="77777777" w:rsidR="00750C42" w:rsidRDefault="00750C42">
            <w:pPr>
              <w:spacing w:line="240" w:lineRule="auto"/>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k</w:t>
            </w:r>
          </w:p>
        </w:tc>
        <w:tc>
          <w:tcPr>
            <w:tcW w:w="1171"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3FB4D174" w14:textId="77777777" w:rsidR="00750C42" w:rsidRDefault="00750C42">
            <w:pPr>
              <w:spacing w:line="240" w:lineRule="auto"/>
              <w:ind w:left="40"/>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r</w:t>
            </w:r>
          </w:p>
        </w:tc>
        <w:tc>
          <w:tcPr>
            <w:tcW w:w="1082"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16D41DAB" w14:textId="77777777" w:rsidR="00750C42" w:rsidRDefault="00750C42">
            <w:pPr>
              <w:spacing w:line="240" w:lineRule="auto"/>
              <w:ind w:left="40"/>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p</w:t>
            </w:r>
          </w:p>
        </w:tc>
        <w:tc>
          <w:tcPr>
            <w:tcW w:w="1291"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6282EA62" w14:textId="77777777" w:rsidR="00750C42" w:rsidRDefault="00750C42">
            <w:pPr>
              <w:spacing w:line="240" w:lineRule="auto"/>
              <w:ind w:right="40"/>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Fail Safe N</w:t>
            </w:r>
          </w:p>
        </w:tc>
      </w:tr>
      <w:tr w:rsidR="00750C42" w14:paraId="2D9344C0" w14:textId="77777777">
        <w:trPr>
          <w:trHeight w:val="480"/>
        </w:trPr>
        <w:tc>
          <w:tcPr>
            <w:tcW w:w="2387" w:type="dxa"/>
            <w:vMerge w:val="restart"/>
            <w:tcBorders>
              <w:left w:val="single" w:sz="8" w:space="0" w:color="000000"/>
              <w:bottom w:val="single" w:sz="8" w:space="0" w:color="000000"/>
              <w:right w:val="single" w:sz="8" w:space="0" w:color="000000"/>
            </w:tcBorders>
            <w:tcMar>
              <w:top w:w="100" w:type="dxa"/>
              <w:left w:w="100" w:type="dxa"/>
              <w:bottom w:w="100" w:type="dxa"/>
              <w:right w:w="100" w:type="dxa"/>
            </w:tcMar>
          </w:tcPr>
          <w:p w14:paraId="2133D1E3" w14:textId="77777777" w:rsidR="00750C42" w:rsidRDefault="00750C42">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C07B7E5" w14:textId="77777777" w:rsidR="00750C42" w:rsidRDefault="00750C42">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Performance Below Social Aspiration</w:t>
            </w:r>
          </w:p>
        </w:tc>
        <w:tc>
          <w:tcPr>
            <w:tcW w:w="2583" w:type="dxa"/>
            <w:tcBorders>
              <w:bottom w:val="single" w:sz="8" w:space="0" w:color="000000"/>
              <w:right w:val="single" w:sz="8" w:space="0" w:color="000000"/>
            </w:tcBorders>
            <w:tcMar>
              <w:top w:w="100" w:type="dxa"/>
              <w:left w:w="100" w:type="dxa"/>
              <w:bottom w:w="100" w:type="dxa"/>
              <w:right w:w="100" w:type="dxa"/>
            </w:tcMar>
          </w:tcPr>
          <w:p w14:paraId="2F26C281" w14:textId="77777777" w:rsidR="00750C42" w:rsidRDefault="00750C42">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Baseline</w:t>
            </w:r>
          </w:p>
        </w:tc>
        <w:tc>
          <w:tcPr>
            <w:tcW w:w="826" w:type="dxa"/>
            <w:tcBorders>
              <w:bottom w:val="single" w:sz="8" w:space="0" w:color="000000"/>
              <w:right w:val="single" w:sz="8" w:space="0" w:color="000000"/>
            </w:tcBorders>
            <w:tcMar>
              <w:top w:w="100" w:type="dxa"/>
              <w:left w:w="100" w:type="dxa"/>
              <w:bottom w:w="100" w:type="dxa"/>
              <w:right w:w="100" w:type="dxa"/>
            </w:tcMar>
          </w:tcPr>
          <w:p w14:paraId="7D00A16E" w14:textId="77777777" w:rsidR="00750C42" w:rsidRDefault="00750C42">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53</w:t>
            </w:r>
          </w:p>
        </w:tc>
        <w:tc>
          <w:tcPr>
            <w:tcW w:w="1171" w:type="dxa"/>
            <w:tcBorders>
              <w:bottom w:val="single" w:sz="8" w:space="0" w:color="000000"/>
              <w:right w:val="single" w:sz="8" w:space="0" w:color="000000"/>
            </w:tcBorders>
            <w:tcMar>
              <w:top w:w="100" w:type="dxa"/>
              <w:left w:w="100" w:type="dxa"/>
              <w:bottom w:w="100" w:type="dxa"/>
              <w:right w:w="100" w:type="dxa"/>
            </w:tcMar>
          </w:tcPr>
          <w:p w14:paraId="1C3DFF9C" w14:textId="77777777" w:rsidR="00750C42" w:rsidRDefault="00750C42">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-0.087</w:t>
            </w:r>
          </w:p>
        </w:tc>
        <w:tc>
          <w:tcPr>
            <w:tcW w:w="1082" w:type="dxa"/>
            <w:tcBorders>
              <w:bottom w:val="single" w:sz="8" w:space="0" w:color="000000"/>
              <w:right w:val="single" w:sz="8" w:space="0" w:color="000000"/>
            </w:tcBorders>
            <w:tcMar>
              <w:top w:w="100" w:type="dxa"/>
              <w:left w:w="100" w:type="dxa"/>
              <w:bottom w:w="100" w:type="dxa"/>
              <w:right w:w="100" w:type="dxa"/>
            </w:tcMar>
          </w:tcPr>
          <w:p w14:paraId="1183C6E3" w14:textId="77777777" w:rsidR="00750C42" w:rsidRDefault="00750C42">
            <w:pPr>
              <w:spacing w:line="240" w:lineRule="auto"/>
              <w:ind w:lef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0.000</w:t>
            </w:r>
          </w:p>
        </w:tc>
        <w:tc>
          <w:tcPr>
            <w:tcW w:w="1291" w:type="dxa"/>
            <w:tcBorders>
              <w:bottom w:val="single" w:sz="8" w:space="0" w:color="000000"/>
              <w:right w:val="single" w:sz="8" w:space="0" w:color="000000"/>
            </w:tcBorders>
            <w:tcMar>
              <w:top w:w="100" w:type="dxa"/>
              <w:left w:w="100" w:type="dxa"/>
              <w:bottom w:w="100" w:type="dxa"/>
              <w:right w:w="100" w:type="dxa"/>
            </w:tcMar>
          </w:tcPr>
          <w:p w14:paraId="0771A352" w14:textId="77777777" w:rsidR="00750C42" w:rsidRDefault="00750C42">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55042</w:t>
            </w:r>
          </w:p>
        </w:tc>
      </w:tr>
      <w:tr w:rsidR="00750C42" w14:paraId="0B9D0E12" w14:textId="77777777">
        <w:trPr>
          <w:trHeight w:val="480"/>
        </w:trPr>
        <w:tc>
          <w:tcPr>
            <w:tcW w:w="2387" w:type="dxa"/>
            <w:vMerge/>
            <w:tcBorders>
              <w:left w:val="single" w:sz="8" w:space="0" w:color="000000"/>
              <w:bottom w:val="single" w:sz="8" w:space="0" w:color="000000"/>
              <w:right w:val="single" w:sz="8" w:space="0" w:color="000000"/>
            </w:tcBorders>
            <w:tcMar>
              <w:top w:w="100" w:type="dxa"/>
              <w:left w:w="100" w:type="dxa"/>
              <w:bottom w:w="100" w:type="dxa"/>
              <w:right w:w="100" w:type="dxa"/>
            </w:tcMar>
          </w:tcPr>
          <w:p w14:paraId="05C149ED" w14:textId="77777777" w:rsidR="00750C42" w:rsidRDefault="00750C42">
            <w:pPr>
              <w:widowControl w:val="0"/>
              <w:rPr>
                <w:rFonts w:ascii="Times New Roman" w:eastAsia="Times New Roman" w:hAnsi="Times New Roman" w:cs="Times New Roman"/>
                <w:sz w:val="24"/>
                <w:szCs w:val="24"/>
              </w:rPr>
            </w:pPr>
          </w:p>
        </w:tc>
        <w:tc>
          <w:tcPr>
            <w:tcW w:w="2583" w:type="dxa"/>
            <w:tcBorders>
              <w:bottom w:val="single" w:sz="8" w:space="0" w:color="000000"/>
              <w:right w:val="single" w:sz="8" w:space="0" w:color="000000"/>
            </w:tcBorders>
            <w:shd w:val="clear" w:color="auto" w:fill="auto"/>
            <w:tcMar>
              <w:top w:w="100" w:type="dxa"/>
              <w:left w:w="100" w:type="dxa"/>
              <w:bottom w:w="100" w:type="dxa"/>
              <w:right w:w="100" w:type="dxa"/>
            </w:tcMar>
          </w:tcPr>
          <w:p w14:paraId="633DCA35" w14:textId="77777777" w:rsidR="00750C42" w:rsidRDefault="00750C42">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Self-Assessment</w:t>
            </w:r>
          </w:p>
        </w:tc>
        <w:tc>
          <w:tcPr>
            <w:tcW w:w="826" w:type="dxa"/>
            <w:tcBorders>
              <w:bottom w:val="single" w:sz="8" w:space="0" w:color="000000"/>
              <w:right w:val="single" w:sz="8" w:space="0" w:color="000000"/>
            </w:tcBorders>
            <w:shd w:val="clear" w:color="auto" w:fill="auto"/>
            <w:tcMar>
              <w:top w:w="100" w:type="dxa"/>
              <w:left w:w="100" w:type="dxa"/>
              <w:bottom w:w="100" w:type="dxa"/>
              <w:right w:w="100" w:type="dxa"/>
            </w:tcMar>
          </w:tcPr>
          <w:p w14:paraId="54834D89" w14:textId="77777777" w:rsidR="00750C42" w:rsidRDefault="00750C42">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w:t>
            </w:r>
          </w:p>
        </w:tc>
        <w:tc>
          <w:tcPr>
            <w:tcW w:w="1171" w:type="dxa"/>
            <w:tcBorders>
              <w:bottom w:val="single" w:sz="8" w:space="0" w:color="000000"/>
              <w:right w:val="single" w:sz="8" w:space="0" w:color="000000"/>
            </w:tcBorders>
            <w:shd w:val="clear" w:color="auto" w:fill="auto"/>
            <w:tcMar>
              <w:top w:w="100" w:type="dxa"/>
              <w:left w:w="100" w:type="dxa"/>
              <w:bottom w:w="100" w:type="dxa"/>
              <w:right w:w="100" w:type="dxa"/>
            </w:tcMar>
          </w:tcPr>
          <w:p w14:paraId="4C426B64" w14:textId="77777777" w:rsidR="00750C42" w:rsidRDefault="00750C42">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-0.098</w:t>
            </w:r>
          </w:p>
        </w:tc>
        <w:tc>
          <w:tcPr>
            <w:tcW w:w="1082" w:type="dxa"/>
            <w:tcBorders>
              <w:bottom w:val="single" w:sz="8" w:space="0" w:color="000000"/>
              <w:right w:val="single" w:sz="8" w:space="0" w:color="000000"/>
            </w:tcBorders>
            <w:shd w:val="clear" w:color="auto" w:fill="auto"/>
            <w:tcMar>
              <w:top w:w="100" w:type="dxa"/>
              <w:left w:w="100" w:type="dxa"/>
              <w:bottom w:w="100" w:type="dxa"/>
              <w:right w:w="100" w:type="dxa"/>
            </w:tcMar>
          </w:tcPr>
          <w:p w14:paraId="2B1EC760" w14:textId="77777777" w:rsidR="00750C42" w:rsidRDefault="00750C42">
            <w:pPr>
              <w:spacing w:line="240" w:lineRule="auto"/>
              <w:ind w:lef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0.000</w:t>
            </w:r>
          </w:p>
        </w:tc>
        <w:tc>
          <w:tcPr>
            <w:tcW w:w="1291" w:type="dxa"/>
            <w:tcBorders>
              <w:bottom w:val="single" w:sz="8" w:space="0" w:color="000000"/>
              <w:right w:val="single" w:sz="8" w:space="0" w:color="000000"/>
            </w:tcBorders>
            <w:shd w:val="clear" w:color="auto" w:fill="auto"/>
            <w:tcMar>
              <w:top w:w="100" w:type="dxa"/>
              <w:left w:w="100" w:type="dxa"/>
              <w:bottom w:w="100" w:type="dxa"/>
              <w:right w:w="100" w:type="dxa"/>
            </w:tcMar>
          </w:tcPr>
          <w:p w14:paraId="56D384DE" w14:textId="77777777" w:rsidR="00750C42" w:rsidRDefault="00750C42">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8084</w:t>
            </w:r>
          </w:p>
        </w:tc>
      </w:tr>
      <w:tr w:rsidR="00750C42" w14:paraId="3D6A6A32" w14:textId="77777777">
        <w:trPr>
          <w:trHeight w:val="480"/>
        </w:trPr>
        <w:tc>
          <w:tcPr>
            <w:tcW w:w="2387" w:type="dxa"/>
            <w:vMerge/>
            <w:tcBorders>
              <w:left w:val="single" w:sz="8" w:space="0" w:color="000000"/>
              <w:bottom w:val="single" w:sz="8" w:space="0" w:color="000000"/>
              <w:right w:val="single" w:sz="8" w:space="0" w:color="000000"/>
            </w:tcBorders>
            <w:tcMar>
              <w:top w:w="100" w:type="dxa"/>
              <w:left w:w="100" w:type="dxa"/>
              <w:bottom w:w="100" w:type="dxa"/>
              <w:right w:w="100" w:type="dxa"/>
            </w:tcMar>
          </w:tcPr>
          <w:p w14:paraId="23317EB7" w14:textId="77777777" w:rsidR="00750C42" w:rsidRDefault="00750C42">
            <w:pPr>
              <w:widowControl w:val="0"/>
              <w:rPr>
                <w:rFonts w:ascii="Times New Roman" w:eastAsia="Times New Roman" w:hAnsi="Times New Roman" w:cs="Times New Roman"/>
                <w:sz w:val="24"/>
                <w:szCs w:val="24"/>
              </w:rPr>
            </w:pPr>
          </w:p>
        </w:tc>
        <w:tc>
          <w:tcPr>
            <w:tcW w:w="2583" w:type="dxa"/>
            <w:tcBorders>
              <w:bottom w:val="single" w:sz="8" w:space="0" w:color="000000"/>
              <w:right w:val="single" w:sz="8" w:space="0" w:color="000000"/>
            </w:tcBorders>
            <w:shd w:val="clear" w:color="auto" w:fill="auto"/>
            <w:tcMar>
              <w:top w:w="100" w:type="dxa"/>
              <w:left w:w="100" w:type="dxa"/>
              <w:bottom w:w="100" w:type="dxa"/>
              <w:right w:w="100" w:type="dxa"/>
            </w:tcMar>
          </w:tcPr>
          <w:p w14:paraId="3CD6F278" w14:textId="77777777" w:rsidR="00750C42" w:rsidRDefault="00750C42">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Self-Improvement</w:t>
            </w:r>
          </w:p>
        </w:tc>
        <w:tc>
          <w:tcPr>
            <w:tcW w:w="826" w:type="dxa"/>
            <w:tcBorders>
              <w:bottom w:val="single" w:sz="8" w:space="0" w:color="000000"/>
              <w:right w:val="single" w:sz="8" w:space="0" w:color="000000"/>
            </w:tcBorders>
            <w:shd w:val="clear" w:color="auto" w:fill="auto"/>
            <w:tcMar>
              <w:top w:w="100" w:type="dxa"/>
              <w:left w:w="100" w:type="dxa"/>
              <w:bottom w:w="100" w:type="dxa"/>
              <w:right w:w="100" w:type="dxa"/>
            </w:tcMar>
          </w:tcPr>
          <w:p w14:paraId="1D20C415" w14:textId="77777777" w:rsidR="00750C42" w:rsidRDefault="00750C42">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w:t>
            </w:r>
          </w:p>
        </w:tc>
        <w:tc>
          <w:tcPr>
            <w:tcW w:w="1171" w:type="dxa"/>
            <w:tcBorders>
              <w:bottom w:val="single" w:sz="8" w:space="0" w:color="000000"/>
              <w:right w:val="single" w:sz="8" w:space="0" w:color="000000"/>
            </w:tcBorders>
            <w:shd w:val="clear" w:color="auto" w:fill="auto"/>
            <w:tcMar>
              <w:top w:w="100" w:type="dxa"/>
              <w:left w:w="100" w:type="dxa"/>
              <w:bottom w:w="100" w:type="dxa"/>
              <w:right w:w="100" w:type="dxa"/>
            </w:tcMar>
          </w:tcPr>
          <w:p w14:paraId="0D0F0EFB" w14:textId="77777777" w:rsidR="00750C42" w:rsidRDefault="00750C42">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-0.001</w:t>
            </w:r>
          </w:p>
        </w:tc>
        <w:tc>
          <w:tcPr>
            <w:tcW w:w="1082" w:type="dxa"/>
            <w:tcBorders>
              <w:bottom w:val="single" w:sz="8" w:space="0" w:color="000000"/>
              <w:right w:val="single" w:sz="8" w:space="0" w:color="000000"/>
            </w:tcBorders>
            <w:shd w:val="clear" w:color="auto" w:fill="auto"/>
            <w:tcMar>
              <w:top w:w="100" w:type="dxa"/>
              <w:left w:w="100" w:type="dxa"/>
              <w:bottom w:w="100" w:type="dxa"/>
              <w:right w:w="100" w:type="dxa"/>
            </w:tcMar>
          </w:tcPr>
          <w:p w14:paraId="15BE7340" w14:textId="77777777" w:rsidR="00750C42" w:rsidRDefault="00750C42">
            <w:pPr>
              <w:spacing w:line="240" w:lineRule="auto"/>
              <w:ind w:lef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0.976</w:t>
            </w:r>
          </w:p>
        </w:tc>
        <w:tc>
          <w:tcPr>
            <w:tcW w:w="1291" w:type="dxa"/>
            <w:tcBorders>
              <w:bottom w:val="single" w:sz="8" w:space="0" w:color="000000"/>
              <w:right w:val="single" w:sz="8" w:space="0" w:color="000000"/>
            </w:tcBorders>
            <w:shd w:val="clear" w:color="auto" w:fill="auto"/>
            <w:tcMar>
              <w:top w:w="100" w:type="dxa"/>
              <w:left w:w="100" w:type="dxa"/>
              <w:bottom w:w="100" w:type="dxa"/>
              <w:right w:w="100" w:type="dxa"/>
            </w:tcMar>
          </w:tcPr>
          <w:p w14:paraId="46581D57" w14:textId="77777777" w:rsidR="00750C42" w:rsidRDefault="00750C42">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141</w:t>
            </w:r>
          </w:p>
        </w:tc>
      </w:tr>
      <w:tr w:rsidR="00750C42" w14:paraId="081D0215" w14:textId="77777777">
        <w:trPr>
          <w:trHeight w:val="480"/>
        </w:trPr>
        <w:tc>
          <w:tcPr>
            <w:tcW w:w="2387" w:type="dxa"/>
            <w:vMerge w:val="restart"/>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678E6F7" w14:textId="77777777" w:rsidR="00750C42" w:rsidRDefault="00750C42">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574173A9" w14:textId="77777777" w:rsidR="00750C42" w:rsidRDefault="00750C42">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Performance Above Social Aspiration</w:t>
            </w:r>
          </w:p>
          <w:p w14:paraId="04FF03BF" w14:textId="77777777" w:rsidR="00750C42" w:rsidRDefault="00750C42">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2583" w:type="dxa"/>
            <w:tcBorders>
              <w:bottom w:val="single" w:sz="8" w:space="0" w:color="000000"/>
              <w:right w:val="single" w:sz="8" w:space="0" w:color="000000"/>
            </w:tcBorders>
            <w:shd w:val="clear" w:color="auto" w:fill="auto"/>
            <w:tcMar>
              <w:top w:w="100" w:type="dxa"/>
              <w:left w:w="100" w:type="dxa"/>
              <w:bottom w:w="100" w:type="dxa"/>
              <w:right w:w="100" w:type="dxa"/>
            </w:tcMar>
          </w:tcPr>
          <w:p w14:paraId="463F78B3" w14:textId="77777777" w:rsidR="00750C42" w:rsidRDefault="00750C42">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Baseline</w:t>
            </w:r>
          </w:p>
        </w:tc>
        <w:tc>
          <w:tcPr>
            <w:tcW w:w="826" w:type="dxa"/>
            <w:tcBorders>
              <w:bottom w:val="single" w:sz="8" w:space="0" w:color="000000"/>
              <w:right w:val="single" w:sz="8" w:space="0" w:color="000000"/>
            </w:tcBorders>
            <w:shd w:val="clear" w:color="auto" w:fill="auto"/>
            <w:tcMar>
              <w:top w:w="100" w:type="dxa"/>
              <w:left w:w="100" w:type="dxa"/>
              <w:bottom w:w="100" w:type="dxa"/>
              <w:right w:w="100" w:type="dxa"/>
            </w:tcMar>
          </w:tcPr>
          <w:p w14:paraId="0C063B5B" w14:textId="77777777" w:rsidR="00750C42" w:rsidRDefault="00750C42">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49</w:t>
            </w:r>
          </w:p>
        </w:tc>
        <w:tc>
          <w:tcPr>
            <w:tcW w:w="1171" w:type="dxa"/>
            <w:tcBorders>
              <w:bottom w:val="single" w:sz="8" w:space="0" w:color="000000"/>
              <w:right w:val="single" w:sz="8" w:space="0" w:color="000000"/>
            </w:tcBorders>
            <w:shd w:val="clear" w:color="auto" w:fill="auto"/>
            <w:tcMar>
              <w:top w:w="100" w:type="dxa"/>
              <w:left w:w="100" w:type="dxa"/>
              <w:bottom w:w="100" w:type="dxa"/>
              <w:right w:w="100" w:type="dxa"/>
            </w:tcMar>
          </w:tcPr>
          <w:p w14:paraId="661FBABE" w14:textId="77777777" w:rsidR="00750C42" w:rsidRDefault="00750C42">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0.014</w:t>
            </w:r>
          </w:p>
        </w:tc>
        <w:tc>
          <w:tcPr>
            <w:tcW w:w="1082" w:type="dxa"/>
            <w:tcBorders>
              <w:bottom w:val="single" w:sz="8" w:space="0" w:color="000000"/>
              <w:right w:val="single" w:sz="8" w:space="0" w:color="000000"/>
            </w:tcBorders>
            <w:shd w:val="clear" w:color="auto" w:fill="auto"/>
            <w:tcMar>
              <w:top w:w="100" w:type="dxa"/>
              <w:left w:w="100" w:type="dxa"/>
              <w:bottom w:w="100" w:type="dxa"/>
              <w:right w:w="100" w:type="dxa"/>
            </w:tcMar>
          </w:tcPr>
          <w:p w14:paraId="6A4BFD10" w14:textId="77777777" w:rsidR="00750C42" w:rsidRDefault="00750C42">
            <w:pPr>
              <w:spacing w:line="240" w:lineRule="auto"/>
              <w:ind w:lef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0.393</w:t>
            </w:r>
          </w:p>
        </w:tc>
        <w:tc>
          <w:tcPr>
            <w:tcW w:w="1291" w:type="dxa"/>
            <w:tcBorders>
              <w:bottom w:val="single" w:sz="8" w:space="0" w:color="000000"/>
              <w:right w:val="single" w:sz="8" w:space="0" w:color="000000"/>
            </w:tcBorders>
            <w:shd w:val="clear" w:color="auto" w:fill="auto"/>
            <w:tcMar>
              <w:top w:w="100" w:type="dxa"/>
              <w:left w:w="100" w:type="dxa"/>
              <w:bottom w:w="100" w:type="dxa"/>
              <w:right w:w="100" w:type="dxa"/>
            </w:tcMar>
          </w:tcPr>
          <w:p w14:paraId="00383A30" w14:textId="77777777" w:rsidR="00750C42" w:rsidRDefault="00750C42">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188</w:t>
            </w:r>
          </w:p>
        </w:tc>
      </w:tr>
      <w:tr w:rsidR="00750C42" w14:paraId="14CB5F0E" w14:textId="77777777">
        <w:trPr>
          <w:trHeight w:val="480"/>
        </w:trPr>
        <w:tc>
          <w:tcPr>
            <w:tcW w:w="2387" w:type="dxa"/>
            <w:vMerge/>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BE58D69" w14:textId="77777777" w:rsidR="00750C42" w:rsidRDefault="00750C42">
            <w:pPr>
              <w:widowControl w:val="0"/>
              <w:rPr>
                <w:rFonts w:ascii="Times New Roman" w:eastAsia="Times New Roman" w:hAnsi="Times New Roman" w:cs="Times New Roman"/>
                <w:sz w:val="24"/>
                <w:szCs w:val="24"/>
              </w:rPr>
            </w:pPr>
          </w:p>
        </w:tc>
        <w:tc>
          <w:tcPr>
            <w:tcW w:w="2583" w:type="dxa"/>
            <w:tcBorders>
              <w:bottom w:val="single" w:sz="8" w:space="0" w:color="000000"/>
              <w:right w:val="single" w:sz="8" w:space="0" w:color="000000"/>
            </w:tcBorders>
            <w:shd w:val="clear" w:color="auto" w:fill="auto"/>
            <w:tcMar>
              <w:top w:w="100" w:type="dxa"/>
              <w:left w:w="100" w:type="dxa"/>
              <w:bottom w:w="100" w:type="dxa"/>
              <w:right w:w="100" w:type="dxa"/>
            </w:tcMar>
          </w:tcPr>
          <w:p w14:paraId="106EDCB0" w14:textId="77777777" w:rsidR="00750C42" w:rsidRDefault="00750C42">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Self-Assessment</w:t>
            </w:r>
          </w:p>
        </w:tc>
        <w:tc>
          <w:tcPr>
            <w:tcW w:w="826" w:type="dxa"/>
            <w:tcBorders>
              <w:bottom w:val="single" w:sz="8" w:space="0" w:color="000000"/>
              <w:right w:val="single" w:sz="8" w:space="0" w:color="000000"/>
            </w:tcBorders>
            <w:shd w:val="clear" w:color="auto" w:fill="auto"/>
            <w:tcMar>
              <w:top w:w="100" w:type="dxa"/>
              <w:left w:w="100" w:type="dxa"/>
              <w:bottom w:w="100" w:type="dxa"/>
              <w:right w:w="100" w:type="dxa"/>
            </w:tcMar>
          </w:tcPr>
          <w:p w14:paraId="0815178B" w14:textId="77777777" w:rsidR="00750C42" w:rsidRDefault="00750C42">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w:t>
            </w:r>
          </w:p>
        </w:tc>
        <w:tc>
          <w:tcPr>
            <w:tcW w:w="1171" w:type="dxa"/>
            <w:tcBorders>
              <w:bottom w:val="single" w:sz="8" w:space="0" w:color="000000"/>
              <w:right w:val="single" w:sz="8" w:space="0" w:color="000000"/>
            </w:tcBorders>
            <w:shd w:val="clear" w:color="auto" w:fill="auto"/>
            <w:tcMar>
              <w:top w:w="100" w:type="dxa"/>
              <w:left w:w="100" w:type="dxa"/>
              <w:bottom w:w="100" w:type="dxa"/>
              <w:right w:w="100" w:type="dxa"/>
            </w:tcMar>
          </w:tcPr>
          <w:p w14:paraId="2C34ED8A" w14:textId="77777777" w:rsidR="00750C42" w:rsidRDefault="00750C42">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-0.046</w:t>
            </w:r>
          </w:p>
        </w:tc>
        <w:tc>
          <w:tcPr>
            <w:tcW w:w="1082" w:type="dxa"/>
            <w:tcBorders>
              <w:bottom w:val="single" w:sz="8" w:space="0" w:color="000000"/>
              <w:right w:val="single" w:sz="8" w:space="0" w:color="000000"/>
            </w:tcBorders>
            <w:shd w:val="clear" w:color="auto" w:fill="auto"/>
            <w:tcMar>
              <w:top w:w="100" w:type="dxa"/>
              <w:left w:w="100" w:type="dxa"/>
              <w:bottom w:w="100" w:type="dxa"/>
              <w:right w:w="100" w:type="dxa"/>
            </w:tcMar>
          </w:tcPr>
          <w:p w14:paraId="058989E6" w14:textId="77777777" w:rsidR="00750C42" w:rsidRDefault="00750C42">
            <w:pPr>
              <w:spacing w:line="240" w:lineRule="auto"/>
              <w:ind w:lef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0.012</w:t>
            </w:r>
          </w:p>
        </w:tc>
        <w:tc>
          <w:tcPr>
            <w:tcW w:w="1291" w:type="dxa"/>
            <w:tcBorders>
              <w:bottom w:val="single" w:sz="8" w:space="0" w:color="000000"/>
              <w:right w:val="single" w:sz="8" w:space="0" w:color="000000"/>
            </w:tcBorders>
            <w:shd w:val="clear" w:color="auto" w:fill="auto"/>
            <w:tcMar>
              <w:top w:w="100" w:type="dxa"/>
              <w:left w:w="100" w:type="dxa"/>
              <w:bottom w:w="100" w:type="dxa"/>
              <w:right w:w="100" w:type="dxa"/>
            </w:tcMar>
          </w:tcPr>
          <w:p w14:paraId="087BE9F7" w14:textId="77777777" w:rsidR="00750C42" w:rsidRDefault="00750C42">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74</w:t>
            </w:r>
          </w:p>
        </w:tc>
      </w:tr>
      <w:tr w:rsidR="00750C42" w14:paraId="127F6FB4" w14:textId="77777777">
        <w:trPr>
          <w:trHeight w:val="480"/>
        </w:trPr>
        <w:tc>
          <w:tcPr>
            <w:tcW w:w="2387" w:type="dxa"/>
            <w:vMerge/>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90A6A03" w14:textId="77777777" w:rsidR="00750C42" w:rsidRDefault="00750C42">
            <w:pPr>
              <w:widowControl w:val="0"/>
              <w:rPr>
                <w:rFonts w:ascii="Times New Roman" w:eastAsia="Times New Roman" w:hAnsi="Times New Roman" w:cs="Times New Roman"/>
                <w:sz w:val="24"/>
                <w:szCs w:val="24"/>
              </w:rPr>
            </w:pPr>
          </w:p>
        </w:tc>
        <w:tc>
          <w:tcPr>
            <w:tcW w:w="2583" w:type="dxa"/>
            <w:tcBorders>
              <w:bottom w:val="single" w:sz="8" w:space="0" w:color="000000"/>
              <w:right w:val="single" w:sz="8" w:space="0" w:color="000000"/>
            </w:tcBorders>
            <w:shd w:val="clear" w:color="auto" w:fill="auto"/>
            <w:tcMar>
              <w:top w:w="100" w:type="dxa"/>
              <w:left w:w="100" w:type="dxa"/>
              <w:bottom w:w="100" w:type="dxa"/>
              <w:right w:w="100" w:type="dxa"/>
            </w:tcMar>
          </w:tcPr>
          <w:p w14:paraId="7F91CB54" w14:textId="77777777" w:rsidR="00750C42" w:rsidRDefault="00750C42">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Self-Improvement</w:t>
            </w:r>
          </w:p>
        </w:tc>
        <w:tc>
          <w:tcPr>
            <w:tcW w:w="826" w:type="dxa"/>
            <w:tcBorders>
              <w:bottom w:val="single" w:sz="8" w:space="0" w:color="000000"/>
              <w:right w:val="single" w:sz="8" w:space="0" w:color="000000"/>
            </w:tcBorders>
            <w:shd w:val="clear" w:color="auto" w:fill="auto"/>
            <w:tcMar>
              <w:top w:w="100" w:type="dxa"/>
              <w:left w:w="100" w:type="dxa"/>
              <w:bottom w:w="100" w:type="dxa"/>
              <w:right w:w="100" w:type="dxa"/>
            </w:tcMar>
          </w:tcPr>
          <w:p w14:paraId="17325858" w14:textId="77777777" w:rsidR="00750C42" w:rsidRDefault="00750C42">
            <w:pPr>
              <w:spacing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1171" w:type="dxa"/>
            <w:tcBorders>
              <w:bottom w:val="single" w:sz="8" w:space="0" w:color="000000"/>
              <w:right w:val="single" w:sz="8" w:space="0" w:color="000000"/>
            </w:tcBorders>
            <w:shd w:val="clear" w:color="auto" w:fill="auto"/>
            <w:tcMar>
              <w:top w:w="100" w:type="dxa"/>
              <w:left w:w="100" w:type="dxa"/>
              <w:bottom w:w="100" w:type="dxa"/>
              <w:right w:w="100" w:type="dxa"/>
            </w:tcMar>
          </w:tcPr>
          <w:p w14:paraId="0173E125" w14:textId="77777777" w:rsidR="00750C42" w:rsidRDefault="00750C42">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0.104</w:t>
            </w:r>
          </w:p>
        </w:tc>
        <w:tc>
          <w:tcPr>
            <w:tcW w:w="1082" w:type="dxa"/>
            <w:tcBorders>
              <w:bottom w:val="single" w:sz="8" w:space="0" w:color="000000"/>
              <w:right w:val="single" w:sz="8" w:space="0" w:color="000000"/>
            </w:tcBorders>
            <w:shd w:val="clear" w:color="auto" w:fill="auto"/>
            <w:tcMar>
              <w:top w:w="100" w:type="dxa"/>
              <w:left w:w="100" w:type="dxa"/>
              <w:bottom w:w="100" w:type="dxa"/>
              <w:right w:w="100" w:type="dxa"/>
            </w:tcMar>
          </w:tcPr>
          <w:p w14:paraId="5590EC42" w14:textId="77777777" w:rsidR="00750C42" w:rsidRDefault="00750C42">
            <w:pPr>
              <w:spacing w:line="240" w:lineRule="auto"/>
              <w:ind w:lef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0.056</w:t>
            </w:r>
          </w:p>
        </w:tc>
        <w:tc>
          <w:tcPr>
            <w:tcW w:w="1291" w:type="dxa"/>
            <w:tcBorders>
              <w:bottom w:val="single" w:sz="8" w:space="0" w:color="000000"/>
              <w:right w:val="single" w:sz="8" w:space="0" w:color="000000"/>
            </w:tcBorders>
            <w:shd w:val="clear" w:color="auto" w:fill="auto"/>
            <w:tcMar>
              <w:top w:w="100" w:type="dxa"/>
              <w:left w:w="100" w:type="dxa"/>
              <w:bottom w:w="100" w:type="dxa"/>
              <w:right w:w="100" w:type="dxa"/>
            </w:tcMar>
          </w:tcPr>
          <w:p w14:paraId="33C47313" w14:textId="77777777" w:rsidR="00750C42" w:rsidRDefault="00750C42">
            <w:pPr>
              <w:spacing w:line="240" w:lineRule="auto"/>
              <w:ind w:right="4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27</w:t>
            </w:r>
          </w:p>
        </w:tc>
      </w:tr>
    </w:tbl>
    <w:p w14:paraId="1FFB7C6E" w14:textId="0DE138BE" w:rsidR="002E344D" w:rsidRDefault="00750C42" w:rsidP="00EC7E61">
      <w:pPr>
        <w:spacing w:line="240" w:lineRule="auto"/>
        <w:sectPr w:rsidR="002E344D">
          <w:endnotePr>
            <w:numFmt w:val="decimal"/>
          </w:endnotePr>
          <w:pgSz w:w="12240" w:h="15840"/>
          <w:pgMar w:top="1440" w:right="1440" w:bottom="1440" w:left="1440" w:header="720" w:footer="720" w:gutter="0"/>
          <w:cols w:space="720"/>
        </w:sectPr>
      </w:pPr>
      <w:r>
        <w:rPr>
          <w:rFonts w:ascii="Times New Roman" w:eastAsia="Times New Roman" w:hAnsi="Times New Roman" w:cs="Times New Roman"/>
        </w:rPr>
        <w:t>Notes: Number of effect sizes (k), sample size weighted mean effect size (r) and its significance (p), the number of studies with null results needed to invalidate our results (Rosenthal, 1995) (Fail Safe N).</w:t>
      </w:r>
    </w:p>
    <w:p w14:paraId="7653F699" w14:textId="4988CBB3" w:rsidR="00CA28B0" w:rsidRDefault="00CA28B0" w:rsidP="002E344D">
      <w:pPr>
        <w:spacing w:line="240" w:lineRule="auto"/>
      </w:pPr>
    </w:p>
    <w:sectPr w:rsidR="00CA28B0">
      <w:endnotePr>
        <w:numFmt w:val="decimal"/>
      </w:endnotePr>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3DAB1E" w14:textId="77777777" w:rsidR="008D7FB6" w:rsidRDefault="008D7FB6" w:rsidP="00750C42">
      <w:pPr>
        <w:spacing w:line="240" w:lineRule="auto"/>
      </w:pPr>
      <w:r>
        <w:separator/>
      </w:r>
    </w:p>
  </w:endnote>
  <w:endnote w:type="continuationSeparator" w:id="0">
    <w:p w14:paraId="6BABCE42" w14:textId="77777777" w:rsidR="008D7FB6" w:rsidRDefault="008D7FB6" w:rsidP="00750C42">
      <w:pPr>
        <w:spacing w:line="240" w:lineRule="auto"/>
      </w:pPr>
      <w:r>
        <w:continuationSeparator/>
      </w:r>
    </w:p>
  </w:endnote>
  <w:endnote w:id="1">
    <w:p w14:paraId="6B4E7D6C" w14:textId="77777777" w:rsidR="0057655F" w:rsidRPr="00B66FAF" w:rsidRDefault="0057655F" w:rsidP="0057655F">
      <w:pPr>
        <w:spacing w:line="240" w:lineRule="auto"/>
        <w:rPr>
          <w:rFonts w:ascii="Times New Roman" w:hAnsi="Times New Roman" w:cs="Times New Roman"/>
          <w:sz w:val="20"/>
          <w:szCs w:val="20"/>
        </w:rPr>
      </w:pPr>
      <w:r w:rsidRPr="00B66FAF">
        <w:rPr>
          <w:rStyle w:val="EndnoteReference"/>
          <w:rFonts w:ascii="Times New Roman" w:hAnsi="Times New Roman" w:cs="Times New Roman"/>
        </w:rPr>
        <w:endnoteRef/>
      </w:r>
      <w:r w:rsidRPr="00B66FAF">
        <w:rPr>
          <w:rFonts w:ascii="Times New Roman" w:hAnsi="Times New Roman" w:cs="Times New Roman"/>
        </w:rPr>
        <w:t xml:space="preserve"> </w:t>
      </w:r>
      <w:r w:rsidRPr="00B66FAF">
        <w:rPr>
          <w:rFonts w:ascii="Times New Roman" w:hAnsi="Times New Roman" w:cs="Times New Roman"/>
          <w:sz w:val="20"/>
          <w:szCs w:val="20"/>
        </w:rPr>
        <w:t xml:space="preserve">While we focus only on social comparison in this paper, firms may also compare their performance to their own past performance (i.e., historical comparison). </w:t>
      </w:r>
    </w:p>
  </w:endnote>
  <w:endnote w:id="2">
    <w:p w14:paraId="3D2E9A89" w14:textId="77777777" w:rsidR="0057655F" w:rsidRPr="00B66FAF" w:rsidRDefault="0057655F" w:rsidP="0057655F">
      <w:pPr>
        <w:pBdr>
          <w:top w:val="nil"/>
          <w:left w:val="nil"/>
          <w:bottom w:val="nil"/>
          <w:right w:val="nil"/>
          <w:between w:val="nil"/>
        </w:pBdr>
        <w:spacing w:line="240" w:lineRule="auto"/>
        <w:rPr>
          <w:rFonts w:ascii="Times New Roman" w:eastAsia="Times New Roman" w:hAnsi="Times New Roman" w:cs="Times New Roman"/>
          <w:color w:val="000000"/>
          <w:sz w:val="20"/>
          <w:szCs w:val="20"/>
        </w:rPr>
      </w:pPr>
      <w:r w:rsidRPr="00B66FAF">
        <w:rPr>
          <w:rStyle w:val="EndnoteReference"/>
          <w:rFonts w:ascii="Times New Roman" w:hAnsi="Times New Roman" w:cs="Times New Roman"/>
        </w:rPr>
        <w:endnoteRef/>
      </w:r>
      <w:r w:rsidRPr="00B66FAF">
        <w:rPr>
          <w:rFonts w:ascii="Times New Roman" w:hAnsi="Times New Roman" w:cs="Times New Roman"/>
        </w:rPr>
        <w:t xml:space="preserve"> </w:t>
      </w:r>
      <w:r w:rsidRPr="00B66FAF">
        <w:rPr>
          <w:rFonts w:ascii="Times New Roman" w:eastAsia="Times New Roman" w:hAnsi="Times New Roman" w:cs="Times New Roman"/>
          <w:color w:val="000000"/>
          <w:sz w:val="20"/>
          <w:szCs w:val="20"/>
        </w:rPr>
        <w:t xml:space="preserve">Italics added by authors. </w:t>
      </w:r>
    </w:p>
  </w:endnote>
  <w:endnote w:id="3">
    <w:p w14:paraId="3FEB4ED0" w14:textId="77777777" w:rsidR="0057655F" w:rsidRPr="00B66FAF" w:rsidRDefault="0057655F" w:rsidP="0057655F">
      <w:pPr>
        <w:pBdr>
          <w:top w:val="nil"/>
          <w:left w:val="nil"/>
          <w:bottom w:val="nil"/>
          <w:right w:val="nil"/>
          <w:between w:val="nil"/>
        </w:pBdr>
        <w:spacing w:line="240" w:lineRule="auto"/>
        <w:rPr>
          <w:rFonts w:ascii="Times New Roman" w:eastAsia="Times New Roman" w:hAnsi="Times New Roman" w:cs="Times New Roman"/>
          <w:color w:val="000000"/>
          <w:sz w:val="20"/>
          <w:szCs w:val="20"/>
        </w:rPr>
      </w:pPr>
      <w:r w:rsidRPr="00B66FAF">
        <w:rPr>
          <w:rStyle w:val="EndnoteReference"/>
          <w:rFonts w:ascii="Times New Roman" w:hAnsi="Times New Roman" w:cs="Times New Roman"/>
        </w:rPr>
        <w:endnoteRef/>
      </w:r>
      <w:r w:rsidRPr="00B66FAF">
        <w:rPr>
          <w:rFonts w:ascii="Times New Roman" w:eastAsia="Times New Roman" w:hAnsi="Times New Roman" w:cs="Times New Roman"/>
          <w:color w:val="000000"/>
          <w:sz w:val="20"/>
          <w:szCs w:val="20"/>
        </w:rPr>
        <w:t xml:space="preserve"> In addition to subgroup analyses, meta-regression analyses can be used to test the effects of social reference groups on organizational responses to social performance feedback. Subgroup analyses are more appropriate for binary or categorical variables, whereas meta-regression analyses are more appropriate for continuous variables (Aguinis et al., 2011). Moreover, subgroup analysis is the most common method for moderator analysis in management research (Geyskens et al., 2008). For these reasons, we opted for subgroup analyses to test our hypotheses.</w:t>
      </w:r>
    </w:p>
  </w:endnote>
  <w:endnote w:id="4">
    <w:p w14:paraId="413B619F" w14:textId="77777777" w:rsidR="0057655F" w:rsidRPr="00B66FAF" w:rsidRDefault="0057655F" w:rsidP="0057655F">
      <w:pPr>
        <w:pBdr>
          <w:top w:val="nil"/>
          <w:left w:val="nil"/>
          <w:bottom w:val="nil"/>
          <w:right w:val="nil"/>
          <w:between w:val="nil"/>
        </w:pBdr>
        <w:spacing w:line="240" w:lineRule="auto"/>
        <w:rPr>
          <w:rFonts w:ascii="Times New Roman" w:eastAsia="Times New Roman" w:hAnsi="Times New Roman" w:cs="Times New Roman"/>
          <w:color w:val="000000"/>
          <w:sz w:val="20"/>
          <w:szCs w:val="20"/>
        </w:rPr>
      </w:pPr>
      <w:r w:rsidRPr="00B66FAF">
        <w:rPr>
          <w:rStyle w:val="EndnoteReference"/>
          <w:rFonts w:ascii="Times New Roman" w:hAnsi="Times New Roman" w:cs="Times New Roman"/>
        </w:rPr>
        <w:endnoteRef/>
      </w:r>
      <w:r w:rsidRPr="00B66FAF">
        <w:rPr>
          <w:rFonts w:ascii="Times New Roman" w:hAnsi="Times New Roman" w:cs="Times New Roman"/>
        </w:rPr>
        <w:t xml:space="preserve"> </w:t>
      </w:r>
      <w:r w:rsidRPr="00B66FAF">
        <w:rPr>
          <w:rFonts w:ascii="Times New Roman" w:eastAsia="Times New Roman" w:hAnsi="Times New Roman" w:cs="Times New Roman"/>
          <w:color w:val="000000"/>
          <w:sz w:val="20"/>
          <w:szCs w:val="20"/>
        </w:rPr>
        <w:t>A negative relationship between performance below aspirations and organizational responses mean that as organizational performance decreases further below aspirations (negative), organizational responses increase (positive).</w:t>
      </w:r>
    </w:p>
  </w:endnote>
  <w:endnote w:id="5">
    <w:p w14:paraId="72CA591B" w14:textId="77777777" w:rsidR="00612C49" w:rsidRPr="00612C49" w:rsidRDefault="00612C49" w:rsidP="00612C49">
      <w:pPr>
        <w:pStyle w:val="EndnoteText"/>
        <w:rPr>
          <w:rFonts w:ascii="Times New Roman" w:hAnsi="Times New Roman" w:cs="Times New Roman"/>
          <w:lang w:val="en-US"/>
        </w:rPr>
      </w:pPr>
      <w:r w:rsidRPr="00612C49">
        <w:rPr>
          <w:rStyle w:val="EndnoteReference"/>
          <w:rFonts w:ascii="Times New Roman" w:hAnsi="Times New Roman" w:cs="Times New Roman"/>
        </w:rPr>
        <w:endnoteRef/>
      </w:r>
      <w:r w:rsidRPr="00612C49">
        <w:rPr>
          <w:rFonts w:ascii="Times New Roman" w:hAnsi="Times New Roman" w:cs="Times New Roman"/>
        </w:rPr>
        <w:t xml:space="preserve"> </w:t>
      </w:r>
      <w:r w:rsidRPr="00612C49">
        <w:rPr>
          <w:rFonts w:ascii="Times New Roman" w:hAnsi="Times New Roman" w:cs="Times New Roman"/>
          <w:lang w:val="en-US"/>
        </w:rPr>
        <w:t xml:space="preserve">Please see the Discussion and Contributions section </w:t>
      </w:r>
      <w:r>
        <w:rPr>
          <w:rFonts w:ascii="Times New Roman" w:hAnsi="Times New Roman" w:cs="Times New Roman"/>
          <w:lang w:val="en-US"/>
        </w:rPr>
        <w:t>for a detailed discussion on the lack of support for this hypothesis</w:t>
      </w:r>
      <w:r w:rsidRPr="00612C49">
        <w:rPr>
          <w:rFonts w:ascii="Times New Roman" w:hAnsi="Times New Roman" w:cs="Times New Roman"/>
          <w:lang w:val="en-US"/>
        </w:rPr>
        <w:t>.</w:t>
      </w:r>
    </w:p>
  </w:endnote>
  <w:endnote w:id="6">
    <w:p w14:paraId="1E1CE55C" w14:textId="77777777" w:rsidR="0057655F" w:rsidRPr="00B66FAF" w:rsidRDefault="0057655F">
      <w:pPr>
        <w:pStyle w:val="EndnoteText"/>
        <w:rPr>
          <w:rFonts w:ascii="Times New Roman" w:hAnsi="Times New Roman" w:cs="Times New Roman"/>
          <w:lang w:val="en-US"/>
        </w:rPr>
      </w:pPr>
      <w:r w:rsidRPr="00B66FAF">
        <w:rPr>
          <w:rStyle w:val="EndnoteReference"/>
          <w:rFonts w:ascii="Times New Roman" w:hAnsi="Times New Roman" w:cs="Times New Roman"/>
        </w:rPr>
        <w:endnoteRef/>
      </w:r>
      <w:r w:rsidRPr="00B66FAF">
        <w:rPr>
          <w:rFonts w:ascii="Times New Roman" w:hAnsi="Times New Roman" w:cs="Times New Roman"/>
        </w:rPr>
        <w:t xml:space="preserve"> These results are available from the authors by request.</w:t>
      </w:r>
    </w:p>
  </w:endnote>
  <w:endnote w:id="7">
    <w:p w14:paraId="5597B0AB" w14:textId="77777777" w:rsidR="0057655F" w:rsidRPr="00B66FAF" w:rsidRDefault="0057655F" w:rsidP="0057655F">
      <w:pPr>
        <w:pBdr>
          <w:top w:val="nil"/>
          <w:left w:val="nil"/>
          <w:bottom w:val="nil"/>
          <w:right w:val="nil"/>
          <w:between w:val="nil"/>
        </w:pBdr>
        <w:spacing w:line="240" w:lineRule="auto"/>
        <w:rPr>
          <w:rFonts w:ascii="Times New Roman" w:eastAsia="Times New Roman" w:hAnsi="Times New Roman" w:cs="Times New Roman"/>
          <w:color w:val="000000"/>
          <w:sz w:val="24"/>
          <w:szCs w:val="24"/>
        </w:rPr>
      </w:pPr>
      <w:r>
        <w:rPr>
          <w:rStyle w:val="EndnoteReference"/>
        </w:rPr>
        <w:endnoteRef/>
      </w:r>
      <w:r>
        <w:t xml:space="preserve"> </w:t>
      </w:r>
      <w:r>
        <w:rPr>
          <w:rFonts w:ascii="Times New Roman" w:eastAsia="Times New Roman" w:hAnsi="Times New Roman" w:cs="Times New Roman"/>
          <w:color w:val="000000"/>
          <w:sz w:val="20"/>
          <w:szCs w:val="20"/>
        </w:rPr>
        <w:t>Rosenthal (1979) suggests that the Fail-Safe N should be at least five times the number of studies included in each subgroup. Our calculated Fail-Safe N values exceed this criterium.</w:t>
      </w:r>
    </w:p>
  </w:endnote>
  <w:endnote w:id="8">
    <w:p w14:paraId="37617D71" w14:textId="77777777" w:rsidR="0057655F" w:rsidRPr="00B66FAF" w:rsidRDefault="0057655F">
      <w:pPr>
        <w:pStyle w:val="EndnoteText"/>
        <w:rPr>
          <w:rFonts w:ascii="Times New Roman" w:hAnsi="Times New Roman" w:cs="Times New Roman"/>
          <w:lang w:val="en-US"/>
        </w:rPr>
      </w:pPr>
      <w:r>
        <w:rPr>
          <w:rStyle w:val="EndnoteReference"/>
        </w:rPr>
        <w:endnoteRef/>
      </w:r>
      <w:r>
        <w:t xml:space="preserve"> </w:t>
      </w:r>
      <w:r w:rsidRPr="00B66FAF">
        <w:rPr>
          <w:rFonts w:ascii="Times New Roman" w:hAnsi="Times New Roman" w:cs="Times New Roman"/>
        </w:rPr>
        <w:t>Despite several groundbreaking papers examining the self-enhancement motive (e.g., Audia and Brion, 2007, Audia et al., 2015), at the moment the number of publications is too small for a meta-analytic examination. As for self-verification, we are aware of only one study (Moliterno et al., 2015) that could be classified as incorporating the self-verification motive.</w:t>
      </w:r>
    </w:p>
  </w:endnote>
  <w:endnote w:id="9">
    <w:p w14:paraId="3216326A" w14:textId="77777777" w:rsidR="0057655F" w:rsidRPr="00B66FAF" w:rsidRDefault="0057655F" w:rsidP="0057655F">
      <w:pPr>
        <w:spacing w:line="240" w:lineRule="auto"/>
        <w:rPr>
          <w:rFonts w:ascii="Times New Roman" w:hAnsi="Times New Roman" w:cs="Times New Roman"/>
          <w:sz w:val="20"/>
          <w:szCs w:val="20"/>
        </w:rPr>
      </w:pPr>
      <w:r w:rsidRPr="00B66FAF">
        <w:rPr>
          <w:rStyle w:val="EndnoteReference"/>
          <w:rFonts w:ascii="Times New Roman" w:hAnsi="Times New Roman" w:cs="Times New Roman"/>
          <w:sz w:val="20"/>
          <w:szCs w:val="20"/>
        </w:rPr>
        <w:endnoteRef/>
      </w:r>
      <w:r w:rsidRPr="00B66FAF">
        <w:rPr>
          <w:rFonts w:ascii="Times New Roman" w:hAnsi="Times New Roman" w:cs="Times New Roman"/>
          <w:sz w:val="20"/>
          <w:szCs w:val="20"/>
        </w:rPr>
        <w:t xml:space="preserve"> </w:t>
      </w:r>
      <w:r w:rsidRPr="00B66FAF">
        <w:rPr>
          <w:rFonts w:ascii="Times New Roman" w:eastAsia="Times New Roman" w:hAnsi="Times New Roman" w:cs="Times New Roman"/>
          <w:sz w:val="20"/>
          <w:szCs w:val="20"/>
        </w:rPr>
        <w:t>For the other two motives: self-improvement (Brown and Zagefka, 2006), self-assessment (Audia et al., 2015; Audia and Brion, 2007).</w:t>
      </w:r>
    </w:p>
  </w:endnote>
  <w:endnote w:id="10">
    <w:p w14:paraId="1898E899" w14:textId="77777777" w:rsidR="0057655F" w:rsidRPr="00B66FAF" w:rsidRDefault="0057655F">
      <w:pPr>
        <w:pStyle w:val="EndnoteText"/>
        <w:rPr>
          <w:rFonts w:ascii="Times New Roman" w:hAnsi="Times New Roman" w:cs="Times New Roman"/>
          <w:lang w:val="en-US"/>
        </w:rPr>
      </w:pPr>
      <w:r w:rsidRPr="00B66FAF">
        <w:rPr>
          <w:rStyle w:val="EndnoteReference"/>
          <w:rFonts w:ascii="Times New Roman" w:hAnsi="Times New Roman" w:cs="Times New Roman"/>
        </w:rPr>
        <w:endnoteRef/>
      </w:r>
      <w:r w:rsidRPr="00B66FAF">
        <w:rPr>
          <w:rFonts w:ascii="Times New Roman" w:hAnsi="Times New Roman" w:cs="Times New Roman"/>
        </w:rPr>
        <w:t xml:space="preserve"> Please see the Methodological Approach for Testing the Proposed Relationships section of this paper for a more detailed discussion on modeling different motives.</w:t>
      </w:r>
    </w:p>
  </w:endnote>
  <w:endnote w:id="11">
    <w:p w14:paraId="3D1FF220" w14:textId="77777777" w:rsidR="0057655F" w:rsidRPr="00B66FAF" w:rsidRDefault="0057655F" w:rsidP="0057655F">
      <w:pPr>
        <w:spacing w:line="240" w:lineRule="auto"/>
        <w:rPr>
          <w:rFonts w:ascii="Times New Roman" w:hAnsi="Times New Roman" w:cs="Times New Roman"/>
          <w:sz w:val="20"/>
          <w:szCs w:val="20"/>
        </w:rPr>
      </w:pPr>
      <w:r w:rsidRPr="00B66FAF">
        <w:rPr>
          <w:rStyle w:val="EndnoteReference"/>
          <w:rFonts w:ascii="Times New Roman" w:hAnsi="Times New Roman" w:cs="Times New Roman"/>
        </w:rPr>
        <w:endnoteRef/>
      </w:r>
      <w:r w:rsidRPr="00B66FAF">
        <w:rPr>
          <w:rFonts w:ascii="Times New Roman" w:hAnsi="Times New Roman" w:cs="Times New Roman"/>
        </w:rPr>
        <w:t xml:space="preserve"> </w:t>
      </w:r>
      <w:r w:rsidRPr="00B66FAF">
        <w:rPr>
          <w:rFonts w:ascii="Times New Roman" w:hAnsi="Times New Roman" w:cs="Times New Roman"/>
          <w:sz w:val="20"/>
          <w:szCs w:val="20"/>
        </w:rPr>
        <w:t>Our sample shows that between 1995 and 2010, the majority of PFT studies drew their samples from US-based companies, with only 25% of studies with non-US samples. However, between 2010 and 2020, 46% of newly published studies used non-US based samples to analyze performance feedback. Similarly, between 2020 and 2022, more than 40% of newly published studies sampled firms in countries other than the U.S. to analyze performance feedback. Non-US studies are growing at a much faster rate than US-based studies.</w:t>
      </w:r>
    </w:p>
    <w:p w14:paraId="0D98867A" w14:textId="77777777" w:rsidR="0057655F" w:rsidRPr="00B66FAF" w:rsidRDefault="0057655F">
      <w:pPr>
        <w:pStyle w:val="EndnoteText"/>
        <w:rPr>
          <w:lang w:val="en-US"/>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de">
    <w:altName w:val="Calibri"/>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88598" w14:textId="54E9D5CE" w:rsidR="0057655F" w:rsidRDefault="0057655F">
    <w:pPr>
      <w:jc w:val="right"/>
    </w:pPr>
    <w:r>
      <w:fldChar w:fldCharType="begin"/>
    </w:r>
    <w:r>
      <w:instrText>PAGE</w:instrText>
    </w:r>
    <w:r>
      <w:fldChar w:fldCharType="separate"/>
    </w:r>
    <w:r w:rsidR="006C44A0">
      <w:rPr>
        <w:noProof/>
      </w:rPr>
      <w:t>53</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4A1940" w14:textId="77777777" w:rsidR="008D7FB6" w:rsidRDefault="008D7FB6" w:rsidP="00750C42">
      <w:pPr>
        <w:spacing w:line="240" w:lineRule="auto"/>
      </w:pPr>
      <w:r>
        <w:separator/>
      </w:r>
    </w:p>
  </w:footnote>
  <w:footnote w:type="continuationSeparator" w:id="0">
    <w:p w14:paraId="09780ADD" w14:textId="77777777" w:rsidR="008D7FB6" w:rsidRDefault="008D7FB6" w:rsidP="00750C42">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750C42"/>
    <w:rsid w:val="00052A32"/>
    <w:rsid w:val="00154026"/>
    <w:rsid w:val="001B30D0"/>
    <w:rsid w:val="001E449C"/>
    <w:rsid w:val="00215574"/>
    <w:rsid w:val="002269CB"/>
    <w:rsid w:val="0023105E"/>
    <w:rsid w:val="002541B6"/>
    <w:rsid w:val="00282F02"/>
    <w:rsid w:val="00286DD4"/>
    <w:rsid w:val="002D68D3"/>
    <w:rsid w:val="002E344D"/>
    <w:rsid w:val="002F65E7"/>
    <w:rsid w:val="00335CA5"/>
    <w:rsid w:val="00374097"/>
    <w:rsid w:val="0038053C"/>
    <w:rsid w:val="00387CCF"/>
    <w:rsid w:val="003A722B"/>
    <w:rsid w:val="003D32EC"/>
    <w:rsid w:val="003E7B3F"/>
    <w:rsid w:val="00423A81"/>
    <w:rsid w:val="00423EF0"/>
    <w:rsid w:val="00427841"/>
    <w:rsid w:val="004322A2"/>
    <w:rsid w:val="00441055"/>
    <w:rsid w:val="00443C8D"/>
    <w:rsid w:val="004725B6"/>
    <w:rsid w:val="004746A0"/>
    <w:rsid w:val="004844B8"/>
    <w:rsid w:val="004869F4"/>
    <w:rsid w:val="004C0886"/>
    <w:rsid w:val="004D2329"/>
    <w:rsid w:val="004F435B"/>
    <w:rsid w:val="005302EB"/>
    <w:rsid w:val="00537257"/>
    <w:rsid w:val="005457E3"/>
    <w:rsid w:val="0057399D"/>
    <w:rsid w:val="0057655F"/>
    <w:rsid w:val="00591126"/>
    <w:rsid w:val="005E13E1"/>
    <w:rsid w:val="005F5671"/>
    <w:rsid w:val="00612C49"/>
    <w:rsid w:val="00615A62"/>
    <w:rsid w:val="00652A6C"/>
    <w:rsid w:val="00670999"/>
    <w:rsid w:val="006A7979"/>
    <w:rsid w:val="006B598E"/>
    <w:rsid w:val="006C4325"/>
    <w:rsid w:val="006C44A0"/>
    <w:rsid w:val="006E54D4"/>
    <w:rsid w:val="006F14C1"/>
    <w:rsid w:val="00701DCE"/>
    <w:rsid w:val="00707153"/>
    <w:rsid w:val="00742962"/>
    <w:rsid w:val="00750C42"/>
    <w:rsid w:val="007A2709"/>
    <w:rsid w:val="007A5A43"/>
    <w:rsid w:val="007B7D0F"/>
    <w:rsid w:val="00846818"/>
    <w:rsid w:val="008D7FB6"/>
    <w:rsid w:val="009147D4"/>
    <w:rsid w:val="00926144"/>
    <w:rsid w:val="0095162B"/>
    <w:rsid w:val="00967A06"/>
    <w:rsid w:val="00980B8D"/>
    <w:rsid w:val="009B659D"/>
    <w:rsid w:val="009C6479"/>
    <w:rsid w:val="009E21C6"/>
    <w:rsid w:val="009E248B"/>
    <w:rsid w:val="009E737B"/>
    <w:rsid w:val="00A10B2C"/>
    <w:rsid w:val="00A128C4"/>
    <w:rsid w:val="00A410B7"/>
    <w:rsid w:val="00A5465D"/>
    <w:rsid w:val="00A71379"/>
    <w:rsid w:val="00A868A8"/>
    <w:rsid w:val="00A95F2C"/>
    <w:rsid w:val="00AA3D8A"/>
    <w:rsid w:val="00AD44A4"/>
    <w:rsid w:val="00AF334D"/>
    <w:rsid w:val="00AF760D"/>
    <w:rsid w:val="00AF7D61"/>
    <w:rsid w:val="00B42885"/>
    <w:rsid w:val="00BD2314"/>
    <w:rsid w:val="00C152F4"/>
    <w:rsid w:val="00C21A32"/>
    <w:rsid w:val="00C62424"/>
    <w:rsid w:val="00C6602F"/>
    <w:rsid w:val="00C87817"/>
    <w:rsid w:val="00CA28B0"/>
    <w:rsid w:val="00CA5244"/>
    <w:rsid w:val="00D10792"/>
    <w:rsid w:val="00D60E9F"/>
    <w:rsid w:val="00D61180"/>
    <w:rsid w:val="00D83B60"/>
    <w:rsid w:val="00DB08DC"/>
    <w:rsid w:val="00E201D7"/>
    <w:rsid w:val="00E30DE2"/>
    <w:rsid w:val="00E3210A"/>
    <w:rsid w:val="00EC7AE3"/>
    <w:rsid w:val="00EC7E61"/>
    <w:rsid w:val="00ED6374"/>
    <w:rsid w:val="00EE6AB7"/>
    <w:rsid w:val="00F05011"/>
    <w:rsid w:val="00F10BBE"/>
    <w:rsid w:val="00F20643"/>
    <w:rsid w:val="00F6000E"/>
    <w:rsid w:val="00F81D02"/>
    <w:rsid w:val="00FB44F9"/>
    <w:rsid w:val="00FC04F9"/>
    <w:rsid w:val="00FD49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26E338"/>
  <w15:chartTrackingRefBased/>
  <w15:docId w15:val="{7828610B-3E21-1D4E-84E8-1296D9FE68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0C42"/>
    <w:pPr>
      <w:spacing w:line="276" w:lineRule="auto"/>
    </w:pPr>
    <w:rPr>
      <w:rFonts w:ascii="Arial" w:eastAsia="Arial" w:hAnsi="Arial" w:cs="Arial"/>
      <w:sz w:val="22"/>
      <w:szCs w:val="22"/>
      <w:lang w:val="en"/>
    </w:rPr>
  </w:style>
  <w:style w:type="paragraph" w:styleId="Heading1">
    <w:name w:val="heading 1"/>
    <w:basedOn w:val="Normal"/>
    <w:next w:val="Normal"/>
    <w:link w:val="Heading1Char"/>
    <w:uiPriority w:val="9"/>
    <w:qFormat/>
    <w:rsid w:val="00750C42"/>
    <w:pPr>
      <w:keepNext/>
      <w:keepLines/>
      <w:spacing w:before="400" w:after="120"/>
      <w:outlineLvl w:val="0"/>
    </w:pPr>
    <w:rPr>
      <w:sz w:val="40"/>
      <w:szCs w:val="40"/>
    </w:rPr>
  </w:style>
  <w:style w:type="paragraph" w:styleId="Heading2">
    <w:name w:val="heading 2"/>
    <w:basedOn w:val="Normal"/>
    <w:next w:val="Normal"/>
    <w:link w:val="Heading2Char"/>
    <w:uiPriority w:val="9"/>
    <w:semiHidden/>
    <w:unhideWhenUsed/>
    <w:qFormat/>
    <w:rsid w:val="00750C42"/>
    <w:pPr>
      <w:keepNext/>
      <w:keepLines/>
      <w:spacing w:before="360" w:after="120"/>
      <w:outlineLvl w:val="1"/>
    </w:pPr>
    <w:rPr>
      <w:sz w:val="32"/>
      <w:szCs w:val="32"/>
    </w:rPr>
  </w:style>
  <w:style w:type="paragraph" w:styleId="Heading3">
    <w:name w:val="heading 3"/>
    <w:basedOn w:val="Normal"/>
    <w:next w:val="Normal"/>
    <w:link w:val="Heading3Char"/>
    <w:uiPriority w:val="9"/>
    <w:semiHidden/>
    <w:unhideWhenUsed/>
    <w:qFormat/>
    <w:rsid w:val="00750C42"/>
    <w:pPr>
      <w:keepNext/>
      <w:keepLines/>
      <w:spacing w:before="320" w:after="80"/>
      <w:outlineLvl w:val="2"/>
    </w:pPr>
    <w:rPr>
      <w:color w:val="434343"/>
      <w:sz w:val="28"/>
      <w:szCs w:val="28"/>
    </w:rPr>
  </w:style>
  <w:style w:type="paragraph" w:styleId="Heading4">
    <w:name w:val="heading 4"/>
    <w:basedOn w:val="Normal"/>
    <w:next w:val="Normal"/>
    <w:link w:val="Heading4Char"/>
    <w:uiPriority w:val="9"/>
    <w:semiHidden/>
    <w:unhideWhenUsed/>
    <w:qFormat/>
    <w:rsid w:val="00750C42"/>
    <w:pPr>
      <w:keepNext/>
      <w:keepLines/>
      <w:spacing w:before="280" w:after="80"/>
      <w:outlineLvl w:val="3"/>
    </w:pPr>
    <w:rPr>
      <w:color w:val="666666"/>
      <w:sz w:val="24"/>
      <w:szCs w:val="24"/>
    </w:rPr>
  </w:style>
  <w:style w:type="paragraph" w:styleId="Heading5">
    <w:name w:val="heading 5"/>
    <w:basedOn w:val="Normal"/>
    <w:next w:val="Normal"/>
    <w:link w:val="Heading5Char"/>
    <w:uiPriority w:val="9"/>
    <w:semiHidden/>
    <w:unhideWhenUsed/>
    <w:qFormat/>
    <w:rsid w:val="00750C42"/>
    <w:pPr>
      <w:keepNext/>
      <w:keepLines/>
      <w:spacing w:before="240" w:after="80"/>
      <w:outlineLvl w:val="4"/>
    </w:pPr>
    <w:rPr>
      <w:color w:val="666666"/>
    </w:rPr>
  </w:style>
  <w:style w:type="paragraph" w:styleId="Heading6">
    <w:name w:val="heading 6"/>
    <w:basedOn w:val="Normal"/>
    <w:next w:val="Normal"/>
    <w:link w:val="Heading6Char"/>
    <w:uiPriority w:val="9"/>
    <w:semiHidden/>
    <w:unhideWhenUsed/>
    <w:qFormat/>
    <w:rsid w:val="00750C42"/>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50C42"/>
    <w:rPr>
      <w:rFonts w:ascii="Arial" w:eastAsia="Arial" w:hAnsi="Arial" w:cs="Arial"/>
      <w:sz w:val="40"/>
      <w:szCs w:val="40"/>
      <w:lang w:val="en"/>
    </w:rPr>
  </w:style>
  <w:style w:type="character" w:customStyle="1" w:styleId="Heading2Char">
    <w:name w:val="Heading 2 Char"/>
    <w:basedOn w:val="DefaultParagraphFont"/>
    <w:link w:val="Heading2"/>
    <w:uiPriority w:val="9"/>
    <w:semiHidden/>
    <w:rsid w:val="00750C42"/>
    <w:rPr>
      <w:rFonts w:ascii="Arial" w:eastAsia="Arial" w:hAnsi="Arial" w:cs="Arial"/>
      <w:sz w:val="32"/>
      <w:szCs w:val="32"/>
      <w:lang w:val="en"/>
    </w:rPr>
  </w:style>
  <w:style w:type="character" w:customStyle="1" w:styleId="Heading3Char">
    <w:name w:val="Heading 3 Char"/>
    <w:basedOn w:val="DefaultParagraphFont"/>
    <w:link w:val="Heading3"/>
    <w:uiPriority w:val="9"/>
    <w:semiHidden/>
    <w:rsid w:val="00750C42"/>
    <w:rPr>
      <w:rFonts w:ascii="Arial" w:eastAsia="Arial" w:hAnsi="Arial" w:cs="Arial"/>
      <w:color w:val="434343"/>
      <w:sz w:val="28"/>
      <w:szCs w:val="28"/>
      <w:lang w:val="en"/>
    </w:rPr>
  </w:style>
  <w:style w:type="character" w:customStyle="1" w:styleId="Heading4Char">
    <w:name w:val="Heading 4 Char"/>
    <w:basedOn w:val="DefaultParagraphFont"/>
    <w:link w:val="Heading4"/>
    <w:uiPriority w:val="9"/>
    <w:semiHidden/>
    <w:rsid w:val="00750C42"/>
    <w:rPr>
      <w:rFonts w:ascii="Arial" w:eastAsia="Arial" w:hAnsi="Arial" w:cs="Arial"/>
      <w:color w:val="666666"/>
      <w:lang w:val="en"/>
    </w:rPr>
  </w:style>
  <w:style w:type="character" w:customStyle="1" w:styleId="Heading5Char">
    <w:name w:val="Heading 5 Char"/>
    <w:basedOn w:val="DefaultParagraphFont"/>
    <w:link w:val="Heading5"/>
    <w:uiPriority w:val="9"/>
    <w:semiHidden/>
    <w:rsid w:val="00750C42"/>
    <w:rPr>
      <w:rFonts w:ascii="Arial" w:eastAsia="Arial" w:hAnsi="Arial" w:cs="Arial"/>
      <w:color w:val="666666"/>
      <w:sz w:val="22"/>
      <w:szCs w:val="22"/>
      <w:lang w:val="en"/>
    </w:rPr>
  </w:style>
  <w:style w:type="character" w:customStyle="1" w:styleId="Heading6Char">
    <w:name w:val="Heading 6 Char"/>
    <w:basedOn w:val="DefaultParagraphFont"/>
    <w:link w:val="Heading6"/>
    <w:uiPriority w:val="9"/>
    <w:semiHidden/>
    <w:rsid w:val="00750C42"/>
    <w:rPr>
      <w:rFonts w:ascii="Arial" w:eastAsia="Arial" w:hAnsi="Arial" w:cs="Arial"/>
      <w:i/>
      <w:color w:val="666666"/>
      <w:sz w:val="22"/>
      <w:szCs w:val="22"/>
      <w:lang w:val="en"/>
    </w:rPr>
  </w:style>
  <w:style w:type="paragraph" w:styleId="Title">
    <w:name w:val="Title"/>
    <w:basedOn w:val="Normal"/>
    <w:next w:val="Normal"/>
    <w:link w:val="TitleChar"/>
    <w:uiPriority w:val="10"/>
    <w:qFormat/>
    <w:rsid w:val="00750C42"/>
    <w:pPr>
      <w:keepNext/>
      <w:keepLines/>
      <w:spacing w:after="60"/>
    </w:pPr>
    <w:rPr>
      <w:sz w:val="52"/>
      <w:szCs w:val="52"/>
    </w:rPr>
  </w:style>
  <w:style w:type="character" w:customStyle="1" w:styleId="TitleChar">
    <w:name w:val="Title Char"/>
    <w:basedOn w:val="DefaultParagraphFont"/>
    <w:link w:val="Title"/>
    <w:uiPriority w:val="10"/>
    <w:rsid w:val="00750C42"/>
    <w:rPr>
      <w:rFonts w:ascii="Arial" w:eastAsia="Arial" w:hAnsi="Arial" w:cs="Arial"/>
      <w:sz w:val="52"/>
      <w:szCs w:val="52"/>
      <w:lang w:val="en"/>
    </w:rPr>
  </w:style>
  <w:style w:type="paragraph" w:styleId="Subtitle">
    <w:name w:val="Subtitle"/>
    <w:basedOn w:val="Normal"/>
    <w:next w:val="Normal"/>
    <w:link w:val="SubtitleChar"/>
    <w:uiPriority w:val="11"/>
    <w:qFormat/>
    <w:rsid w:val="00750C42"/>
    <w:pPr>
      <w:keepNext/>
      <w:keepLines/>
      <w:spacing w:after="320"/>
    </w:pPr>
    <w:rPr>
      <w:color w:val="666666"/>
      <w:sz w:val="30"/>
      <w:szCs w:val="30"/>
    </w:rPr>
  </w:style>
  <w:style w:type="character" w:customStyle="1" w:styleId="SubtitleChar">
    <w:name w:val="Subtitle Char"/>
    <w:basedOn w:val="DefaultParagraphFont"/>
    <w:link w:val="Subtitle"/>
    <w:uiPriority w:val="11"/>
    <w:rsid w:val="00750C42"/>
    <w:rPr>
      <w:rFonts w:ascii="Arial" w:eastAsia="Arial" w:hAnsi="Arial" w:cs="Arial"/>
      <w:color w:val="666666"/>
      <w:sz w:val="30"/>
      <w:szCs w:val="30"/>
      <w:lang w:val="en"/>
    </w:rPr>
  </w:style>
  <w:style w:type="paragraph" w:styleId="Revision">
    <w:name w:val="Revision"/>
    <w:hidden/>
    <w:uiPriority w:val="99"/>
    <w:semiHidden/>
    <w:rsid w:val="00750C42"/>
    <w:pPr>
      <w:spacing w:line="276" w:lineRule="auto"/>
    </w:pPr>
    <w:rPr>
      <w:rFonts w:ascii="Arial" w:eastAsia="Arial" w:hAnsi="Arial" w:cs="Arial"/>
      <w:sz w:val="22"/>
      <w:szCs w:val="22"/>
      <w:lang w:val="en"/>
    </w:rPr>
  </w:style>
  <w:style w:type="character" w:styleId="CommentReference">
    <w:name w:val="annotation reference"/>
    <w:basedOn w:val="DefaultParagraphFont"/>
    <w:uiPriority w:val="99"/>
    <w:semiHidden/>
    <w:unhideWhenUsed/>
    <w:rsid w:val="00750C42"/>
    <w:rPr>
      <w:sz w:val="16"/>
      <w:szCs w:val="16"/>
    </w:rPr>
  </w:style>
  <w:style w:type="paragraph" w:styleId="CommentText">
    <w:name w:val="annotation text"/>
    <w:basedOn w:val="Normal"/>
    <w:link w:val="CommentTextChar"/>
    <w:uiPriority w:val="99"/>
    <w:unhideWhenUsed/>
    <w:rsid w:val="00750C42"/>
    <w:pPr>
      <w:spacing w:line="240" w:lineRule="auto"/>
    </w:pPr>
    <w:rPr>
      <w:sz w:val="20"/>
      <w:szCs w:val="20"/>
    </w:rPr>
  </w:style>
  <w:style w:type="character" w:customStyle="1" w:styleId="CommentTextChar">
    <w:name w:val="Comment Text Char"/>
    <w:basedOn w:val="DefaultParagraphFont"/>
    <w:link w:val="CommentText"/>
    <w:uiPriority w:val="99"/>
    <w:rsid w:val="00750C42"/>
    <w:rPr>
      <w:rFonts w:ascii="Arial" w:eastAsia="Arial" w:hAnsi="Arial" w:cs="Arial"/>
      <w:sz w:val="20"/>
      <w:szCs w:val="20"/>
      <w:lang w:val="en"/>
    </w:rPr>
  </w:style>
  <w:style w:type="paragraph" w:styleId="CommentSubject">
    <w:name w:val="annotation subject"/>
    <w:basedOn w:val="CommentText"/>
    <w:next w:val="CommentText"/>
    <w:link w:val="CommentSubjectChar"/>
    <w:uiPriority w:val="99"/>
    <w:semiHidden/>
    <w:unhideWhenUsed/>
    <w:rsid w:val="00750C42"/>
    <w:rPr>
      <w:b/>
      <w:bCs/>
    </w:rPr>
  </w:style>
  <w:style w:type="character" w:customStyle="1" w:styleId="CommentSubjectChar">
    <w:name w:val="Comment Subject Char"/>
    <w:basedOn w:val="CommentTextChar"/>
    <w:link w:val="CommentSubject"/>
    <w:uiPriority w:val="99"/>
    <w:semiHidden/>
    <w:rsid w:val="00750C42"/>
    <w:rPr>
      <w:rFonts w:ascii="Arial" w:eastAsia="Arial" w:hAnsi="Arial" w:cs="Arial"/>
      <w:b/>
      <w:bCs/>
      <w:sz w:val="20"/>
      <w:szCs w:val="20"/>
      <w:lang w:val="en"/>
    </w:rPr>
  </w:style>
  <w:style w:type="paragraph" w:styleId="FootnoteText">
    <w:name w:val="footnote text"/>
    <w:basedOn w:val="Normal"/>
    <w:link w:val="FootnoteTextChar"/>
    <w:uiPriority w:val="99"/>
    <w:semiHidden/>
    <w:unhideWhenUsed/>
    <w:rsid w:val="00750C42"/>
    <w:pPr>
      <w:spacing w:line="240" w:lineRule="auto"/>
    </w:pPr>
    <w:rPr>
      <w:sz w:val="20"/>
      <w:szCs w:val="20"/>
    </w:rPr>
  </w:style>
  <w:style w:type="character" w:customStyle="1" w:styleId="FootnoteTextChar">
    <w:name w:val="Footnote Text Char"/>
    <w:basedOn w:val="DefaultParagraphFont"/>
    <w:link w:val="FootnoteText"/>
    <w:uiPriority w:val="99"/>
    <w:semiHidden/>
    <w:rsid w:val="00750C42"/>
    <w:rPr>
      <w:rFonts w:ascii="Arial" w:eastAsia="Arial" w:hAnsi="Arial" w:cs="Arial"/>
      <w:sz w:val="20"/>
      <w:szCs w:val="20"/>
      <w:lang w:val="en"/>
    </w:rPr>
  </w:style>
  <w:style w:type="character" w:styleId="FootnoteReference">
    <w:name w:val="footnote reference"/>
    <w:basedOn w:val="DefaultParagraphFont"/>
    <w:uiPriority w:val="99"/>
    <w:semiHidden/>
    <w:unhideWhenUsed/>
    <w:rsid w:val="00750C42"/>
    <w:rPr>
      <w:vertAlign w:val="superscript"/>
    </w:rPr>
  </w:style>
  <w:style w:type="paragraph" w:styleId="EndnoteText">
    <w:name w:val="endnote text"/>
    <w:basedOn w:val="Normal"/>
    <w:link w:val="EndnoteTextChar"/>
    <w:uiPriority w:val="99"/>
    <w:semiHidden/>
    <w:unhideWhenUsed/>
    <w:rsid w:val="00750C42"/>
    <w:pPr>
      <w:spacing w:line="240" w:lineRule="auto"/>
    </w:pPr>
    <w:rPr>
      <w:sz w:val="20"/>
      <w:szCs w:val="20"/>
    </w:rPr>
  </w:style>
  <w:style w:type="character" w:customStyle="1" w:styleId="EndnoteTextChar">
    <w:name w:val="Endnote Text Char"/>
    <w:basedOn w:val="DefaultParagraphFont"/>
    <w:link w:val="EndnoteText"/>
    <w:uiPriority w:val="99"/>
    <w:semiHidden/>
    <w:rsid w:val="00750C42"/>
    <w:rPr>
      <w:rFonts w:ascii="Arial" w:eastAsia="Arial" w:hAnsi="Arial" w:cs="Arial"/>
      <w:sz w:val="20"/>
      <w:szCs w:val="20"/>
      <w:lang w:val="en"/>
    </w:rPr>
  </w:style>
  <w:style w:type="character" w:styleId="EndnoteReference">
    <w:name w:val="endnote reference"/>
    <w:basedOn w:val="DefaultParagraphFont"/>
    <w:uiPriority w:val="99"/>
    <w:semiHidden/>
    <w:unhideWhenUsed/>
    <w:rsid w:val="00750C42"/>
    <w:rPr>
      <w:vertAlign w:val="superscript"/>
    </w:rPr>
  </w:style>
  <w:style w:type="paragraph" w:styleId="BalloonText">
    <w:name w:val="Balloon Text"/>
    <w:basedOn w:val="Normal"/>
    <w:link w:val="BalloonTextChar"/>
    <w:uiPriority w:val="99"/>
    <w:semiHidden/>
    <w:unhideWhenUsed/>
    <w:rsid w:val="00750C42"/>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0C42"/>
    <w:rPr>
      <w:rFonts w:ascii="Segoe UI" w:eastAsia="Arial" w:hAnsi="Segoe UI" w:cs="Segoe UI"/>
      <w:sz w:val="18"/>
      <w:szCs w:val="18"/>
      <w:lang w:val="en"/>
    </w:rPr>
  </w:style>
  <w:style w:type="paragraph" w:customStyle="1" w:styleId="EndNoteBibliographyTitle">
    <w:name w:val="EndNote Bibliography Title"/>
    <w:basedOn w:val="Normal"/>
    <w:link w:val="EndNoteBibliographyTitleChar"/>
    <w:rsid w:val="00750C42"/>
    <w:pPr>
      <w:jc w:val="center"/>
    </w:pPr>
    <w:rPr>
      <w:rFonts w:ascii="Times New Roman" w:hAnsi="Times New Roman" w:cs="Times New Roman"/>
      <w:lang w:val="en-US"/>
    </w:rPr>
  </w:style>
  <w:style w:type="character" w:customStyle="1" w:styleId="EndNoteBibliographyTitleChar">
    <w:name w:val="EndNote Bibliography Title Char"/>
    <w:basedOn w:val="DefaultParagraphFont"/>
    <w:link w:val="EndNoteBibliographyTitle"/>
    <w:rsid w:val="00750C42"/>
    <w:rPr>
      <w:rFonts w:ascii="Times New Roman" w:eastAsia="Arial" w:hAnsi="Times New Roman" w:cs="Times New Roman"/>
      <w:sz w:val="22"/>
      <w:szCs w:val="22"/>
    </w:rPr>
  </w:style>
  <w:style w:type="paragraph" w:customStyle="1" w:styleId="EndNoteBibliography">
    <w:name w:val="EndNote Bibliography"/>
    <w:basedOn w:val="Normal"/>
    <w:link w:val="EndNoteBibliographyChar"/>
    <w:rsid w:val="00750C42"/>
    <w:pPr>
      <w:spacing w:line="240" w:lineRule="auto"/>
      <w:jc w:val="center"/>
    </w:pPr>
    <w:rPr>
      <w:rFonts w:ascii="Times New Roman" w:hAnsi="Times New Roman" w:cs="Times New Roman"/>
      <w:lang w:val="en-US"/>
    </w:rPr>
  </w:style>
  <w:style w:type="character" w:customStyle="1" w:styleId="EndNoteBibliographyChar">
    <w:name w:val="EndNote Bibliography Char"/>
    <w:basedOn w:val="DefaultParagraphFont"/>
    <w:link w:val="EndNoteBibliography"/>
    <w:rsid w:val="00750C42"/>
    <w:rPr>
      <w:rFonts w:ascii="Times New Roman" w:eastAsia="Arial" w:hAnsi="Times New Roman" w:cs="Times New Roman"/>
      <w:sz w:val="22"/>
      <w:szCs w:val="22"/>
    </w:rPr>
  </w:style>
  <w:style w:type="paragraph" w:styleId="NormalWeb">
    <w:name w:val="Normal (Web)"/>
    <w:basedOn w:val="Normal"/>
    <w:uiPriority w:val="99"/>
    <w:unhideWhenUsed/>
    <w:rsid w:val="00750C42"/>
    <w:pPr>
      <w:spacing w:before="100" w:beforeAutospacing="1" w:after="100" w:afterAutospacing="1" w:line="240" w:lineRule="auto"/>
    </w:pPr>
    <w:rPr>
      <w:rFonts w:ascii="Times New Roman" w:eastAsia="Times New Roman" w:hAnsi="Times New Roman" w:cs="Times New Roman"/>
      <w:sz w:val="24"/>
      <w:szCs w:val="24"/>
      <w:lang w:val="en-US"/>
    </w:rPr>
  </w:style>
  <w:style w:type="table" w:styleId="TableGrid">
    <w:name w:val="Table Grid"/>
    <w:basedOn w:val="TableNormal"/>
    <w:uiPriority w:val="39"/>
    <w:rsid w:val="00750C42"/>
    <w:pPr>
      <w:spacing w:line="276" w:lineRule="auto"/>
    </w:pPr>
    <w:rPr>
      <w:rFonts w:ascii="Arial" w:eastAsia="Arial" w:hAnsi="Arial" w:cs="Arial"/>
      <w:sz w:val="22"/>
      <w:szCs w:val="22"/>
      <w:lang w:val="e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50C42"/>
    <w:pPr>
      <w:ind w:left="720"/>
      <w:contextualSpacing/>
    </w:pPr>
  </w:style>
  <w:style w:type="character" w:styleId="Emphasis">
    <w:name w:val="Emphasis"/>
    <w:basedOn w:val="DefaultParagraphFont"/>
    <w:uiPriority w:val="20"/>
    <w:qFormat/>
    <w:rsid w:val="00750C42"/>
    <w:rPr>
      <w:i/>
      <w:iCs/>
    </w:rPr>
  </w:style>
  <w:style w:type="character" w:styleId="Hyperlink">
    <w:name w:val="Hyperlink"/>
    <w:basedOn w:val="DefaultParagraphFont"/>
    <w:uiPriority w:val="99"/>
    <w:semiHidden/>
    <w:unhideWhenUsed/>
    <w:rsid w:val="00750C42"/>
    <w:rPr>
      <w:color w:val="0000FF"/>
      <w:u w:val="single"/>
    </w:rPr>
  </w:style>
  <w:style w:type="character" w:customStyle="1" w:styleId="titleauthoretc">
    <w:name w:val="titleauthoretc"/>
    <w:basedOn w:val="DefaultParagraphFont"/>
    <w:rsid w:val="00750C42"/>
  </w:style>
  <w:style w:type="character" w:styleId="Strong">
    <w:name w:val="Strong"/>
    <w:basedOn w:val="DefaultParagraphFont"/>
    <w:uiPriority w:val="22"/>
    <w:qFormat/>
    <w:rsid w:val="00750C42"/>
    <w:rPr>
      <w:b/>
      <w:bCs/>
    </w:rPr>
  </w:style>
  <w:style w:type="character" w:styleId="HTMLCite">
    <w:name w:val="HTML Cite"/>
    <w:basedOn w:val="DefaultParagraphFont"/>
    <w:uiPriority w:val="99"/>
    <w:semiHidden/>
    <w:unhideWhenUsed/>
    <w:rsid w:val="00750C42"/>
    <w:rPr>
      <w:i/>
      <w:iCs/>
    </w:rPr>
  </w:style>
  <w:style w:type="paragraph" w:customStyle="1" w:styleId="Default">
    <w:name w:val="Default"/>
    <w:rsid w:val="00750C42"/>
    <w:pPr>
      <w:autoSpaceDE w:val="0"/>
      <w:autoSpaceDN w:val="0"/>
      <w:adjustRightInd w:val="0"/>
      <w:spacing w:line="276" w:lineRule="auto"/>
    </w:pPr>
    <w:rPr>
      <w:rFonts w:ascii="Code" w:eastAsia="Arial" w:hAnsi="Code" w:cs="Code"/>
      <w:color w:val="000000"/>
      <w:sz w:val="22"/>
      <w:szCs w:val="22"/>
      <w:lang w:val="en"/>
    </w:rPr>
  </w:style>
  <w:style w:type="character" w:customStyle="1" w:styleId="metadata--author-name">
    <w:name w:val="metadata--author-name"/>
    <w:basedOn w:val="DefaultParagraphFont"/>
    <w:rsid w:val="00750C42"/>
  </w:style>
  <w:style w:type="character" w:customStyle="1" w:styleId="action">
    <w:name w:val="action"/>
    <w:basedOn w:val="DefaultParagraphFont"/>
    <w:rsid w:val="00750C42"/>
  </w:style>
  <w:style w:type="paragraph" w:customStyle="1" w:styleId="metadata--citation">
    <w:name w:val="metadata--citation"/>
    <w:basedOn w:val="Normal"/>
    <w:rsid w:val="00750C42"/>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metadata--source-title">
    <w:name w:val="metadata--source-title"/>
    <w:basedOn w:val="DefaultParagraphFont"/>
    <w:rsid w:val="00750C42"/>
  </w:style>
  <w:style w:type="character" w:customStyle="1" w:styleId="metadata--pmid">
    <w:name w:val="metadata--pmid"/>
    <w:basedOn w:val="DefaultParagraphFont"/>
    <w:rsid w:val="00750C42"/>
  </w:style>
  <w:style w:type="paragraph" w:styleId="Header">
    <w:name w:val="header"/>
    <w:basedOn w:val="Normal"/>
    <w:link w:val="HeaderChar"/>
    <w:uiPriority w:val="99"/>
    <w:unhideWhenUsed/>
    <w:rsid w:val="00750C42"/>
    <w:pPr>
      <w:tabs>
        <w:tab w:val="center" w:pos="4680"/>
        <w:tab w:val="right" w:pos="9360"/>
      </w:tabs>
      <w:spacing w:line="240" w:lineRule="auto"/>
    </w:pPr>
  </w:style>
  <w:style w:type="character" w:customStyle="1" w:styleId="HeaderChar">
    <w:name w:val="Header Char"/>
    <w:basedOn w:val="DefaultParagraphFont"/>
    <w:link w:val="Header"/>
    <w:uiPriority w:val="99"/>
    <w:rsid w:val="00750C42"/>
    <w:rPr>
      <w:rFonts w:ascii="Arial" w:eastAsia="Arial" w:hAnsi="Arial" w:cs="Arial"/>
      <w:sz w:val="22"/>
      <w:szCs w:val="22"/>
      <w:lang w:val="en"/>
    </w:rPr>
  </w:style>
  <w:style w:type="paragraph" w:styleId="Footer">
    <w:name w:val="footer"/>
    <w:basedOn w:val="Normal"/>
    <w:link w:val="FooterChar"/>
    <w:uiPriority w:val="99"/>
    <w:unhideWhenUsed/>
    <w:rsid w:val="00750C42"/>
    <w:pPr>
      <w:tabs>
        <w:tab w:val="center" w:pos="4680"/>
        <w:tab w:val="right" w:pos="9360"/>
      </w:tabs>
      <w:spacing w:line="240" w:lineRule="auto"/>
    </w:pPr>
  </w:style>
  <w:style w:type="character" w:customStyle="1" w:styleId="FooterChar">
    <w:name w:val="Footer Char"/>
    <w:basedOn w:val="DefaultParagraphFont"/>
    <w:link w:val="Footer"/>
    <w:uiPriority w:val="99"/>
    <w:rsid w:val="00750C42"/>
    <w:rPr>
      <w:rFonts w:ascii="Arial" w:eastAsia="Arial" w:hAnsi="Arial" w:cs="Arial"/>
      <w:sz w:val="22"/>
      <w:szCs w:val="22"/>
      <w:lang w:val="en"/>
    </w:rPr>
  </w:style>
  <w:style w:type="character" w:styleId="PlaceholderText">
    <w:name w:val="Placeholder Text"/>
    <w:basedOn w:val="DefaultParagraphFont"/>
    <w:uiPriority w:val="99"/>
    <w:semiHidden/>
    <w:rsid w:val="00A868A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54</Pages>
  <Words>15917</Words>
  <Characters>90728</Characters>
  <Application>Microsoft Office Word</Application>
  <DocSecurity>0</DocSecurity>
  <Lines>756</Lines>
  <Paragraphs>212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Serhan Kotiloglu</dc:creator>
  <cp:keywords/>
  <dc:description/>
  <cp:lastModifiedBy>Daniela Blettner</cp:lastModifiedBy>
  <cp:revision>2</cp:revision>
  <dcterms:created xsi:type="dcterms:W3CDTF">2023-01-14T17:50:00Z</dcterms:created>
  <dcterms:modified xsi:type="dcterms:W3CDTF">2023-01-14T17:50:00Z</dcterms:modified>
</cp:coreProperties>
</file>